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ind w:left="3520"/>
        <w:spacing w:after="0"/>
        <w:rPr>
          <w:sz w:val="20"/>
          <w:szCs w:val="20"/>
          <w:color w:val="auto"/>
        </w:rPr>
      </w:pPr>
      <w:r>
        <w:rPr>
          <w:rFonts w:ascii="Arial" w:cs="Arial" w:eastAsia="Arial" w:hAnsi="Arial"/>
          <w:sz w:val="19"/>
          <w:szCs w:val="19"/>
          <w:color w:val="auto"/>
        </w:rPr>
        <w:t>____________________________________________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30" w:lineRule="exact"/>
        <w:rPr>
          <w:sz w:val="24"/>
          <w:szCs w:val="24"/>
          <w:color w:val="auto"/>
        </w:rPr>
      </w:pPr>
    </w:p>
    <w:p>
      <w:pPr>
        <w:ind w:left="3520"/>
        <w:spacing w:after="0"/>
        <w:rPr>
          <w:sz w:val="20"/>
          <w:szCs w:val="20"/>
          <w:color w:val="auto"/>
        </w:rPr>
      </w:pPr>
      <w:r>
        <w:rPr>
          <w:rFonts w:ascii="Arial" w:cs="Arial" w:eastAsia="Arial" w:hAnsi="Arial"/>
          <w:sz w:val="19"/>
          <w:szCs w:val="19"/>
          <w:color w:val="auto"/>
        </w:rPr>
        <w:t>____________________________________________</w:t>
      </w:r>
    </w:p>
    <w:p>
      <w:pPr>
        <w:spacing w:after="0" w:line="10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49" w:lineRule="exact"/>
        <w:rPr>
          <w:sz w:val="24"/>
          <w:szCs w:val="24"/>
          <w:color w:val="auto"/>
        </w:rPr>
      </w:pPr>
    </w:p>
    <w:p>
      <w:pPr>
        <w:ind w:left="640" w:hanging="618"/>
        <w:spacing w:after="0"/>
        <w:tabs>
          <w:tab w:leader="none" w:pos="64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3" w:lineRule="exact"/>
        <w:rPr>
          <w:sz w:val="24"/>
          <w:szCs w:val="24"/>
          <w:color w:val="auto"/>
        </w:rPr>
      </w:pPr>
    </w:p>
    <w:p>
      <w:pPr>
        <w:ind w:left="640" w:hanging="618"/>
        <w:spacing w:after="0"/>
        <w:tabs>
          <w:tab w:leader="none" w:pos="6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46" w:lineRule="exact"/>
        <w:rPr>
          <w:sz w:val="24"/>
          <w:szCs w:val="24"/>
          <w:color w:val="auto"/>
        </w:rPr>
      </w:pPr>
    </w:p>
    <w:p>
      <w:pPr>
        <w:ind w:left="3000"/>
        <w:spacing w:after="0"/>
        <w:rPr>
          <w:sz w:val="20"/>
          <w:szCs w:val="20"/>
          <w:color w:val="auto"/>
        </w:rPr>
      </w:pPr>
      <w:r>
        <w:rPr>
          <w:rFonts w:ascii="Arial" w:cs="Arial" w:eastAsia="Arial" w:hAnsi="Arial"/>
          <w:sz w:val="15"/>
          <w:szCs w:val="15"/>
          <w:b w:val="1"/>
          <w:bCs w:val="1"/>
          <w:color w:val="auto"/>
        </w:rPr>
        <w:t>For the transition period from ___________________ to ___________________</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p>
    <w:p>
      <w:pPr>
        <w:ind w:left="3520"/>
        <w:spacing w:after="0"/>
        <w:rPr>
          <w:sz w:val="20"/>
          <w:szCs w:val="20"/>
          <w:color w:val="auto"/>
        </w:rPr>
      </w:pPr>
      <w:r>
        <w:rPr>
          <w:rFonts w:ascii="Arial" w:cs="Arial" w:eastAsia="Arial" w:hAnsi="Arial"/>
          <w:sz w:val="19"/>
          <w:szCs w:val="19"/>
          <w:color w:val="auto"/>
        </w:rPr>
        <w:t>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Progyny, Inc.</w:t>
      </w:r>
    </w:p>
    <w:p>
      <w:pPr>
        <w:sectPr>
          <w:pgSz w:w="11900" w:h="16838" w:orient="portrait"/>
          <w:cols w:equalWidth="0" w:num="1">
            <w:col w:w="11260"/>
          </w:cols>
          <w:pgMar w:left="320" w:top="258" w:right="319" w:bottom="1440" w:gutter="0" w:footer="0" w:header="0"/>
        </w:sectPr>
      </w:pPr>
    </w:p>
    <w:p>
      <w:pPr>
        <w:spacing w:after="0" w:line="59" w:lineRule="exact"/>
        <w:rPr>
          <w:sz w:val="24"/>
          <w:szCs w:val="24"/>
          <w:color w:val="auto"/>
        </w:rPr>
      </w:pPr>
    </w:p>
    <w:p>
      <w:pPr>
        <w:jc w:val="center"/>
        <w:ind w:left="3520"/>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3520"/>
        <w:spacing w:after="0"/>
        <w:rPr>
          <w:sz w:val="20"/>
          <w:szCs w:val="20"/>
          <w:color w:val="auto"/>
        </w:rPr>
      </w:pPr>
      <w:r>
        <w:rPr>
          <w:rFonts w:ascii="Arial" w:cs="Arial" w:eastAsia="Arial" w:hAnsi="Arial"/>
          <w:sz w:val="17"/>
          <w:szCs w:val="17"/>
          <w:color w:val="auto"/>
        </w:rPr>
        <w:t>____________________________________________</w:t>
      </w:r>
    </w:p>
    <w:p>
      <w:pPr>
        <w:spacing w:after="0" w:line="17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Delaware</w:t>
      </w:r>
    </w:p>
    <w:p>
      <w:pPr>
        <w:spacing w:after="0" w:line="65" w:lineRule="exact"/>
        <w:rPr>
          <w:sz w:val="24"/>
          <w:szCs w:val="24"/>
          <w:color w:val="auto"/>
        </w:rPr>
      </w:pPr>
    </w:p>
    <w:p>
      <w:pPr>
        <w:ind w:left="2160"/>
        <w:spacing w:after="0"/>
        <w:rPr>
          <w:sz w:val="20"/>
          <w:szCs w:val="20"/>
          <w:color w:val="auto"/>
        </w:rPr>
      </w:pPr>
      <w:r>
        <w:rPr>
          <w:rFonts w:ascii="Arial" w:cs="Arial" w:eastAsia="Arial" w:hAnsi="Arial"/>
          <w:sz w:val="10"/>
          <w:szCs w:val="10"/>
          <w:b w:val="1"/>
          <w:bCs w:val="1"/>
          <w:color w:val="auto"/>
        </w:rPr>
        <w:t>(State or other jurisdiction of</w:t>
      </w:r>
    </w:p>
    <w:p>
      <w:pPr>
        <w:spacing w:after="0" w:line="15" w:lineRule="exact"/>
        <w:rPr>
          <w:sz w:val="24"/>
          <w:szCs w:val="24"/>
          <w:color w:val="auto"/>
        </w:rPr>
      </w:pPr>
    </w:p>
    <w:p>
      <w:pPr>
        <w:ind w:left="2140"/>
        <w:spacing w:after="0"/>
        <w:rPr>
          <w:sz w:val="20"/>
          <w:szCs w:val="20"/>
          <w:color w:val="auto"/>
        </w:rPr>
      </w:pPr>
      <w:r>
        <w:rPr>
          <w:rFonts w:ascii="Arial" w:cs="Arial" w:eastAsia="Arial" w:hAnsi="Arial"/>
          <w:sz w:val="10"/>
          <w:szCs w:val="10"/>
          <w:b w:val="1"/>
          <w:bCs w:val="1"/>
          <w:color w:val="auto"/>
        </w:rPr>
        <w:t>incorporation or organization)</w:t>
      </w:r>
    </w:p>
    <w:p>
      <w:pPr>
        <w:spacing w:after="0" w:line="4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1359 Broadway</w:t>
      </w:r>
    </w:p>
    <w:p>
      <w:pPr>
        <w:spacing w:after="0" w:line="21" w:lineRule="exact"/>
        <w:rPr>
          <w:sz w:val="24"/>
          <w:szCs w:val="24"/>
          <w:color w:val="auto"/>
        </w:rPr>
      </w:pPr>
    </w:p>
    <w:p>
      <w:pPr>
        <w:jc w:val="center"/>
        <w:ind w:right="2100"/>
        <w:spacing w:after="0"/>
        <w:rPr>
          <w:sz w:val="20"/>
          <w:szCs w:val="20"/>
          <w:color w:val="auto"/>
        </w:rPr>
      </w:pPr>
      <w:r>
        <w:rPr>
          <w:rFonts w:ascii="Arial" w:cs="Arial" w:eastAsia="Arial" w:hAnsi="Arial"/>
          <w:sz w:val="14"/>
          <w:szCs w:val="14"/>
          <w:b w:val="1"/>
          <w:bCs w:val="1"/>
          <w:color w:val="auto"/>
        </w:rPr>
        <w:t xml:space="preserve">New York, </w:t>
      </w: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27-2220139</w:t>
      </w:r>
    </w:p>
    <w:p>
      <w:pPr>
        <w:spacing w:after="0" w:line="11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15"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76"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10018</w:t>
      </w:r>
    </w:p>
    <w:p>
      <w:pPr>
        <w:spacing w:after="0" w:line="65" w:lineRule="exact"/>
        <w:rPr>
          <w:sz w:val="24"/>
          <w:szCs w:val="24"/>
          <w:color w:val="auto"/>
        </w:rPr>
      </w:pPr>
    </w:p>
    <w:p>
      <w:pPr>
        <w:sectPr>
          <w:pgSz w:w="11900" w:h="16838" w:orient="portrait"/>
          <w:cols w:equalWidth="0" w:num="2">
            <w:col w:w="7740" w:space="280"/>
            <w:col w:w="3240"/>
          </w:cols>
          <w:pgMar w:left="320" w:top="258" w:right="319" w:bottom="1440" w:gutter="0" w:footer="0" w:header="0"/>
          <w:type w:val="continuous"/>
        </w:sectPr>
      </w:pPr>
    </w:p>
    <w:p>
      <w:pPr>
        <w:ind w:left="1960"/>
        <w:spacing w:after="0"/>
        <w:tabs>
          <w:tab w:leader="none" w:pos="8180" w:val="left"/>
        </w:tabs>
        <w:rPr>
          <w:sz w:val="20"/>
          <w:szCs w:val="20"/>
          <w:color w:val="auto"/>
        </w:rPr>
      </w:pPr>
      <w:r>
        <w:rPr>
          <w:rFonts w:ascii="Arial" w:cs="Arial" w:eastAsia="Arial" w:hAnsi="Arial"/>
          <w:sz w:val="10"/>
          <w:szCs w:val="10"/>
          <w:b w:val="1"/>
          <w:bCs w:val="1"/>
          <w:color w:val="auto"/>
        </w:rPr>
        <w:t>(Address of principal executive offices)</w:t>
      </w:r>
      <w:r>
        <w:rPr>
          <w:sz w:val="20"/>
          <w:szCs w:val="20"/>
          <w:color w:val="auto"/>
        </w:rPr>
        <w:tab/>
      </w:r>
      <w:r>
        <w:rPr>
          <w:rFonts w:ascii="Arial" w:cs="Arial" w:eastAsia="Arial" w:hAnsi="Arial"/>
          <w:sz w:val="9"/>
          <w:szCs w:val="9"/>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(212) 888-3124</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ind w:left="5500"/>
        <w:spacing w:after="0"/>
        <w:rPr>
          <w:sz w:val="20"/>
          <w:szCs w:val="20"/>
          <w:color w:val="auto"/>
        </w:rPr>
      </w:pPr>
      <w:r>
        <w:rPr>
          <w:rFonts w:ascii="Arial" w:cs="Arial" w:eastAsia="Arial" w:hAnsi="Arial"/>
          <w:sz w:val="14"/>
          <w:szCs w:val="14"/>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 w:lineRule="exact"/>
        <w:rPr>
          <w:sz w:val="24"/>
          <w:szCs w:val="24"/>
          <w:color w:val="auto"/>
        </w:rPr>
      </w:pPr>
    </w:p>
    <w:p>
      <w:pPr>
        <w:ind w:left="3520"/>
        <w:spacing w:after="0"/>
        <w:rPr>
          <w:sz w:val="20"/>
          <w:szCs w:val="20"/>
          <w:color w:val="auto"/>
        </w:rPr>
      </w:pPr>
      <w:r>
        <w:rPr>
          <w:rFonts w:ascii="Arial" w:cs="Arial" w:eastAsia="Arial" w:hAnsi="Arial"/>
          <w:sz w:val="19"/>
          <w:szCs w:val="19"/>
          <w:color w:val="auto"/>
        </w:rPr>
        <w:t>____________________________________________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145020" cy="398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398145"/>
                    </a:xfrm>
                    <a:prstGeom prst="rect">
                      <a:avLst/>
                    </a:prstGeom>
                    <a:noFill/>
                  </pic:spPr>
                </pic:pic>
              </a:graphicData>
            </a:graphic>
          </wp:anchor>
        </w:drawing>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380" w:type="dxa"/>
            <w:vAlign w:val="bottom"/>
          </w:tcPr>
          <w:p>
            <w:pPr>
              <w:jc w:val="center"/>
              <w:ind w:left="330"/>
              <w:spacing w:after="0"/>
              <w:rPr>
                <w:sz w:val="20"/>
                <w:szCs w:val="20"/>
                <w:color w:val="auto"/>
              </w:rPr>
            </w:pPr>
            <w:r>
              <w:rPr>
                <w:rFonts w:ascii="Arial" w:cs="Arial" w:eastAsia="Arial" w:hAnsi="Arial"/>
                <w:sz w:val="14"/>
                <w:szCs w:val="14"/>
                <w:b w:val="1"/>
                <w:bCs w:val="1"/>
                <w:color w:val="auto"/>
                <w:w w:val="89"/>
              </w:rPr>
              <w:t>Trading Symbol(s)</w:t>
            </w:r>
          </w:p>
        </w:tc>
        <w:tc>
          <w:tcPr>
            <w:tcW w:w="4140" w:type="dxa"/>
            <w:vAlign w:val="bottom"/>
          </w:tcPr>
          <w:p>
            <w:pPr>
              <w:jc w:val="center"/>
              <w:ind w:left="290"/>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70"/>
        </w:trPr>
        <w:tc>
          <w:tcPr>
            <w:tcW w:w="3740" w:type="dxa"/>
            <w:vAlign w:val="bottom"/>
          </w:tcPr>
          <w:p>
            <w:pPr>
              <w:jc w:val="center"/>
              <w:spacing w:after="0"/>
              <w:rPr>
                <w:sz w:val="20"/>
                <w:szCs w:val="20"/>
                <w:color w:val="auto"/>
              </w:rPr>
            </w:pPr>
            <w:r>
              <w:rPr>
                <w:rFonts w:ascii="Arial" w:cs="Arial" w:eastAsia="Arial" w:hAnsi="Arial"/>
                <w:sz w:val="14"/>
                <w:szCs w:val="14"/>
                <w:color w:val="auto"/>
                <w:w w:val="92"/>
              </w:rPr>
              <w:t>Common Stock,</w:t>
            </w:r>
          </w:p>
        </w:tc>
        <w:tc>
          <w:tcPr>
            <w:tcW w:w="3380" w:type="dxa"/>
            <w:vAlign w:val="bottom"/>
          </w:tcPr>
          <w:p>
            <w:pPr>
              <w:jc w:val="center"/>
              <w:ind w:left="330"/>
              <w:spacing w:after="0"/>
              <w:rPr>
                <w:sz w:val="20"/>
                <w:szCs w:val="20"/>
                <w:color w:val="auto"/>
              </w:rPr>
            </w:pPr>
            <w:r>
              <w:rPr>
                <w:rFonts w:ascii="Arial" w:cs="Arial" w:eastAsia="Arial" w:hAnsi="Arial"/>
                <w:sz w:val="14"/>
                <w:szCs w:val="14"/>
                <w:color w:val="auto"/>
                <w:w w:val="95"/>
              </w:rPr>
              <w:t>PGNY</w:t>
            </w:r>
          </w:p>
        </w:tc>
        <w:tc>
          <w:tcPr>
            <w:tcW w:w="4140" w:type="dxa"/>
            <w:vAlign w:val="bottom"/>
          </w:tcPr>
          <w:p>
            <w:pPr>
              <w:jc w:val="center"/>
              <w:ind w:left="290"/>
              <w:spacing w:after="0"/>
              <w:rPr>
                <w:sz w:val="20"/>
                <w:szCs w:val="20"/>
                <w:color w:val="auto"/>
              </w:rPr>
            </w:pPr>
            <w:r>
              <w:rPr>
                <w:rFonts w:ascii="Arial" w:cs="Arial" w:eastAsia="Arial" w:hAnsi="Arial"/>
                <w:sz w:val="14"/>
                <w:szCs w:val="14"/>
                <w:color w:val="auto"/>
                <w:w w:val="90"/>
              </w:rPr>
              <w:t>The Nasdaq Global Select Market</w:t>
            </w:r>
          </w:p>
        </w:tc>
      </w:tr>
    </w:tbl>
    <w:p>
      <w:pPr>
        <w:ind w:left="1100"/>
        <w:spacing w:after="0"/>
        <w:rPr>
          <w:sz w:val="20"/>
          <w:szCs w:val="20"/>
          <w:color w:val="auto"/>
        </w:rPr>
      </w:pPr>
      <w:r>
        <w:rPr>
          <w:rFonts w:ascii="Arial" w:cs="Arial" w:eastAsia="Arial" w:hAnsi="Arial"/>
          <w:sz w:val="14"/>
          <w:szCs w:val="14"/>
          <w:color w:val="auto"/>
        </w:rPr>
        <w:t>$0.0001 par value per share</w:t>
      </w:r>
    </w:p>
    <w:p>
      <w:pPr>
        <w:spacing w:after="0" w:line="219" w:lineRule="exact"/>
        <w:rPr>
          <w:sz w:val="24"/>
          <w:szCs w:val="24"/>
          <w:color w:val="auto"/>
        </w:rPr>
      </w:pPr>
    </w:p>
    <w:p>
      <w:pPr>
        <w:jc w:val="both"/>
        <w:ind w:right="20" w:firstLine="627"/>
        <w:spacing w:after="0" w:line="33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5" w:lineRule="exact"/>
        <w:rPr>
          <w:sz w:val="24"/>
          <w:szCs w:val="24"/>
          <w:color w:val="auto"/>
        </w:rPr>
      </w:pPr>
    </w:p>
    <w:p>
      <w:pPr>
        <w:jc w:val="both"/>
        <w:ind w:right="20" w:firstLine="627"/>
        <w:spacing w:after="0" w:line="29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45" w:lineRule="exact"/>
        <w:rPr>
          <w:sz w:val="24"/>
          <w:szCs w:val="24"/>
          <w:color w:val="auto"/>
        </w:rPr>
      </w:pPr>
    </w:p>
    <w:p>
      <w:pPr>
        <w:jc w:val="both"/>
        <w:ind w:right="20" w:firstLine="627"/>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1660" w:type="dxa"/>
        <w:tblCellMar>
          <w:top w:w="0" w:type="dxa"/>
          <w:left w:w="0" w:type="dxa"/>
          <w:bottom w:w="0" w:type="dxa"/>
          <w:right w:w="0" w:type="dxa"/>
        </w:tblCellMar>
      </w:tblPr>
      <w:tr>
        <w:trPr>
          <w:trHeight w:val="204"/>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00" w:type="dxa"/>
            <w:vAlign w:val="bottom"/>
          </w:tcPr>
          <w:p>
            <w:pPr>
              <w:ind w:left="800"/>
              <w:spacing w:after="0"/>
              <w:rPr>
                <w:sz w:val="20"/>
                <w:szCs w:val="20"/>
                <w:color w:val="auto"/>
              </w:rPr>
            </w:pPr>
            <w:r>
              <w:rPr>
                <w:rFonts w:ascii="Arial" w:cs="Arial" w:eastAsia="Arial" w:hAnsi="Arial"/>
                <w:sz w:val="14"/>
                <w:szCs w:val="14"/>
                <w:color w:val="auto"/>
              </w:rPr>
              <w:t>x</w:t>
            </w:r>
          </w:p>
        </w:tc>
        <w:tc>
          <w:tcPr>
            <w:tcW w:w="292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80"/>
              <w:spacing w:after="0"/>
              <w:rPr>
                <w:sz w:val="20"/>
                <w:szCs w:val="20"/>
                <w:color w:val="auto"/>
              </w:rPr>
            </w:pPr>
            <w:r>
              <w:rPr>
                <w:rFonts w:ascii="Arial" w:cs="Arial" w:eastAsia="Arial" w:hAnsi="Arial"/>
                <w:sz w:val="14"/>
                <w:szCs w:val="14"/>
                <w:color w:val="auto"/>
                <w:w w:val="76"/>
              </w:rPr>
              <w:t>o</w:t>
            </w:r>
          </w:p>
        </w:tc>
      </w:tr>
      <w:tr>
        <w:trPr>
          <w:trHeight w:val="209"/>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1500" w:type="dxa"/>
            <w:vAlign w:val="bottom"/>
          </w:tcPr>
          <w:p>
            <w:pPr>
              <w:ind w:left="800"/>
              <w:spacing w:after="0"/>
              <w:rPr>
                <w:sz w:val="20"/>
                <w:szCs w:val="20"/>
                <w:color w:val="auto"/>
              </w:rPr>
            </w:pPr>
            <w:r>
              <w:rPr>
                <w:rFonts w:ascii="Arial" w:cs="Arial" w:eastAsia="Arial" w:hAnsi="Arial"/>
                <w:sz w:val="14"/>
                <w:szCs w:val="14"/>
                <w:color w:val="auto"/>
              </w:rPr>
              <w:t>o</w:t>
            </w:r>
          </w:p>
        </w:tc>
        <w:tc>
          <w:tcPr>
            <w:tcW w:w="292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80"/>
              <w:spacing w:after="0"/>
              <w:rPr>
                <w:sz w:val="20"/>
                <w:szCs w:val="20"/>
                <w:color w:val="auto"/>
              </w:rPr>
            </w:pPr>
            <w:r>
              <w:rPr>
                <w:rFonts w:ascii="Arial" w:cs="Arial" w:eastAsia="Arial" w:hAnsi="Arial"/>
                <w:sz w:val="14"/>
                <w:szCs w:val="14"/>
                <w:color w:val="auto"/>
                <w:w w:val="76"/>
              </w:rPr>
              <w:t>o</w:t>
            </w:r>
          </w:p>
        </w:tc>
      </w:tr>
      <w:tr>
        <w:trPr>
          <w:trHeight w:val="209"/>
        </w:trPr>
        <w:tc>
          <w:tcPr>
            <w:tcW w:w="2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ind w:left="62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80"/>
              <w:spacing w:after="0"/>
              <w:rPr>
                <w:sz w:val="20"/>
                <w:szCs w:val="20"/>
                <w:color w:val="auto"/>
              </w:rPr>
            </w:pPr>
            <w:r>
              <w:rPr>
                <w:rFonts w:ascii="Arial" w:cs="Arial" w:eastAsia="Arial" w:hAnsi="Arial"/>
                <w:sz w:val="14"/>
                <w:szCs w:val="14"/>
                <w:color w:val="auto"/>
                <w:w w:val="76"/>
              </w:rPr>
              <w:t>o</w:t>
            </w:r>
          </w:p>
        </w:tc>
      </w:tr>
    </w:tbl>
    <w:p>
      <w:pPr>
        <w:spacing w:after="0" w:line="188" w:lineRule="exact"/>
        <w:rPr>
          <w:sz w:val="24"/>
          <w:szCs w:val="24"/>
          <w:color w:val="auto"/>
        </w:rPr>
      </w:pPr>
    </w:p>
    <w:p>
      <w:pPr>
        <w:ind w:right="20" w:firstLine="627"/>
        <w:spacing w:after="0" w:line="27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ind w:left="640" w:right="3640"/>
        <w:spacing w:after="0" w:line="547" w:lineRule="auto"/>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 No x As of October 31, 2023, the registrant had 95,836,228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628650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258"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gridSpan w:val="2"/>
            <w:vMerge w:val="restart"/>
          </w:tcPr>
          <w:p>
            <w:pPr>
              <w:spacing w:after="0"/>
              <w:rPr>
                <w:sz w:val="20"/>
                <w:szCs w:val="20"/>
                <w:color w:val="auto"/>
              </w:rPr>
            </w:pPr>
            <w:r>
              <w:rPr>
                <w:rFonts w:ascii="Arial" w:cs="Arial" w:eastAsia="Arial" w:hAnsi="Arial"/>
                <w:sz w:val="17"/>
                <w:szCs w:val="17"/>
                <w:b w:val="1"/>
                <w:bCs w:val="1"/>
                <w:color w:val="0000FF"/>
                <w:w w:val="95"/>
              </w:rPr>
              <w:t>PART I.</w:t>
            </w:r>
          </w:p>
        </w:tc>
        <w:tc>
          <w:tcPr>
            <w:tcW w:w="9820" w:type="dxa"/>
            <w:vAlign w:val="bottom"/>
            <w:gridSpan w:val="21"/>
            <w:vMerge w:val="restart"/>
          </w:tcPr>
          <w:p>
            <w:pPr>
              <w:ind w:left="680"/>
              <w:spacing w:after="0"/>
              <w:rPr>
                <w:sz w:val="20"/>
                <w:szCs w:val="20"/>
                <w:color w:val="auto"/>
              </w:rPr>
            </w:pPr>
            <w:r>
              <w:rPr>
                <w:rFonts w:ascii="Arial" w:cs="Arial" w:eastAsia="Arial" w:hAnsi="Arial"/>
                <w:sz w:val="17"/>
                <w:szCs w:val="17"/>
                <w:b w:val="1"/>
                <w:bCs w:val="1"/>
                <w:color w:val="0000FF"/>
              </w:rPr>
              <w:t>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820" w:type="dxa"/>
            <w:vAlign w:val="bottom"/>
            <w:gridSpan w:val="21"/>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1.</w:t>
            </w:r>
          </w:p>
        </w:tc>
        <w:tc>
          <w:tcPr>
            <w:tcW w:w="120" w:type="dxa"/>
            <w:vAlign w:val="bottom"/>
          </w:tcPr>
          <w:p>
            <w:pPr>
              <w:spacing w:after="0"/>
              <w:rPr>
                <w:sz w:val="24"/>
                <w:szCs w:val="24"/>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Financial Statements (Unaudited)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7"/>
                <w:szCs w:val="17"/>
                <w:color w:val="0000FF"/>
              </w:rPr>
              <w:t>Consolidated Balance Sheets as of September 30, 2023 and December 31, 2022</w:t>
            </w: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4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1"/>
              </w:rPr>
              <w:t>Consolidated Statements of Operations for the Three and Nine Months Ended September 30, 2023 and 2022</w:t>
            </w:r>
          </w:p>
        </w:tc>
        <w:tc>
          <w:tcPr>
            <w:tcW w:w="14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4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1"/>
              </w:rPr>
              <w:t>Consolidated Statements of Comprehensive Income for the Three and Nine Months Ended September 30, 2023 and 2022</w:t>
            </w:r>
          </w:p>
        </w:tc>
        <w:tc>
          <w:tcPr>
            <w:tcW w:w="5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7"/>
                <w:szCs w:val="17"/>
                <w:color w:val="0000FF"/>
                <w:w w:val="95"/>
              </w:rPr>
              <w:t>Consolidated Statements of Changes in Stockholders’ Equity for the Three and Nine Months Ended September 30, 2023 and</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ind w:left="840"/>
              <w:spacing w:after="0" w:line="176" w:lineRule="exact"/>
              <w:rPr>
                <w:sz w:val="20"/>
                <w:szCs w:val="20"/>
                <w:color w:val="auto"/>
              </w:rPr>
            </w:pPr>
            <w:r>
              <w:rPr>
                <w:rFonts w:ascii="Arial" w:cs="Arial" w:eastAsia="Arial" w:hAnsi="Arial"/>
                <w:sz w:val="17"/>
                <w:szCs w:val="17"/>
                <w:color w:val="0000FF"/>
                <w:w w:val="84"/>
              </w:rPr>
              <w:t>2022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7"/>
                <w:szCs w:val="17"/>
                <w:color w:val="0000FF"/>
              </w:rPr>
              <w:t>Consolidated Statements of Cash Flows for the Nine Months Ended September 30, 2023 and 2022</w:t>
            </w: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4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0000FF"/>
              </w:rPr>
              <w:t>Notes to Consolidated Financial Statements</w:t>
            </w:r>
          </w:p>
        </w:tc>
        <w:tc>
          <w:tcPr>
            <w:tcW w:w="21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2.</w:t>
            </w: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3.</w:t>
            </w: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4.</w:t>
            </w: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7"/>
                <w:szCs w:val="17"/>
                <w:b w:val="1"/>
                <w:bCs w:val="1"/>
                <w:color w:val="0000FF"/>
                <w:w w:val="88"/>
              </w:rPr>
              <w:t>PART II.</w:t>
            </w:r>
          </w:p>
        </w:tc>
        <w:tc>
          <w:tcPr>
            <w:tcW w:w="9820" w:type="dxa"/>
            <w:vAlign w:val="bottom"/>
            <w:gridSpan w:val="21"/>
          </w:tcPr>
          <w:p>
            <w:pPr>
              <w:ind w:left="680"/>
              <w:spacing w:after="0"/>
              <w:rPr>
                <w:sz w:val="20"/>
                <w:szCs w:val="20"/>
                <w:color w:val="auto"/>
              </w:rPr>
            </w:pPr>
            <w:r>
              <w:rPr>
                <w:rFonts w:ascii="Arial" w:cs="Arial" w:eastAsia="Arial" w:hAnsi="Arial"/>
                <w:sz w:val="17"/>
                <w:szCs w:val="17"/>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1.</w:t>
            </w:r>
          </w:p>
        </w:tc>
        <w:tc>
          <w:tcPr>
            <w:tcW w:w="120" w:type="dxa"/>
            <w:vAlign w:val="bottom"/>
          </w:tcPr>
          <w:p>
            <w:pPr>
              <w:spacing w:after="0"/>
              <w:rPr>
                <w:sz w:val="24"/>
                <w:szCs w:val="24"/>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Legal Proceedings</w:t>
            </w:r>
          </w:p>
        </w:tc>
        <w:tc>
          <w:tcPr>
            <w:tcW w:w="7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3"/>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7"/>
                <w:szCs w:val="17"/>
                <w:color w:val="0000FF"/>
                <w:w w:val="91"/>
              </w:rPr>
              <w:t>Item 1A.</w:t>
            </w: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Risk Factors</w:t>
            </w:r>
          </w:p>
        </w:tc>
        <w:tc>
          <w:tcPr>
            <w:tcW w:w="7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2.</w:t>
            </w: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Unregistered Sales of Equity Securities, Use of Proceeds, and Issuer Purchases of Equity Securities</w:t>
            </w:r>
          </w:p>
        </w:tc>
        <w:tc>
          <w:tcPr>
            <w:tcW w:w="78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4680" w:type="dxa"/>
            <w:vAlign w:val="bottom"/>
            <w:tcBorders>
              <w:left w:val="single" w:sz="8" w:color="0000FF"/>
            </w:tcBorders>
            <w:gridSpan w:val="6"/>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3.</w:t>
            </w: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Defaults Upon Senior Securities</w:t>
            </w:r>
          </w:p>
        </w:tc>
        <w:tc>
          <w:tcPr>
            <w:tcW w:w="78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4.</w:t>
            </w: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5.</w:t>
            </w: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Other Information</w:t>
            </w:r>
          </w:p>
        </w:tc>
        <w:tc>
          <w:tcPr>
            <w:tcW w:w="78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92"/>
              </w:rPr>
              <w:t>Item 6.</w:t>
            </w: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Exhibits</w:t>
            </w:r>
          </w:p>
        </w:tc>
        <w:tc>
          <w:tcPr>
            <w:tcW w:w="78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20" w:type="dxa"/>
            <w:vAlign w:val="bottom"/>
            <w:gridSpan w:val="21"/>
          </w:tcPr>
          <w:p>
            <w:pPr>
              <w:ind w:left="680"/>
              <w:spacing w:after="0"/>
              <w:rPr>
                <w:sz w:val="20"/>
                <w:szCs w:val="20"/>
                <w:color w:val="auto"/>
              </w:rPr>
            </w:pPr>
            <w:r>
              <w:rPr>
                <w:rFonts w:ascii="Arial" w:cs="Arial" w:eastAsia="Arial" w:hAnsi="Arial"/>
                <w:sz w:val="17"/>
                <w:szCs w:val="17"/>
                <w:color w:val="0000FF"/>
              </w:rPr>
              <w:t>Signatures</w:t>
            </w:r>
          </w:p>
        </w:tc>
        <w:tc>
          <w:tcPr>
            <w:tcW w:w="7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90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Borders>
              <w:top w:val="single" w:sz="8" w:color="0000FF"/>
            </w:tcBorders>
            <w:gridSpan w:val="4"/>
          </w:tcPr>
          <w:p>
            <w:pPr>
              <w:spacing w:after="0"/>
              <w:rPr>
                <w:sz w:val="24"/>
                <w:szCs w:val="24"/>
                <w:color w:val="auto"/>
              </w:rPr>
            </w:pPr>
          </w:p>
        </w:tc>
        <w:tc>
          <w:tcPr>
            <w:tcW w:w="4960" w:type="dxa"/>
            <w:vAlign w:val="bottom"/>
            <w:gridSpan w:val="9"/>
          </w:tcPr>
          <w:p>
            <w:pPr>
              <w:jc w:val="right"/>
              <w:ind w:right="1360"/>
              <w:spacing w:after="0"/>
              <w:rPr>
                <w:sz w:val="20"/>
                <w:szCs w:val="20"/>
                <w:color w:val="auto"/>
              </w:rPr>
            </w:pPr>
            <w:r>
              <w:rPr>
                <w:rFonts w:ascii="Arial" w:cs="Arial" w:eastAsia="Arial" w:hAnsi="Arial"/>
                <w:sz w:val="17"/>
                <w:szCs w:val="17"/>
                <w:color w:val="auto"/>
              </w:rPr>
              <w:t>2</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strategies, plans, objectives and goals; and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RISKS AFFECTING 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79" w:lineRule="exact"/>
        <w:rPr>
          <w:sz w:val="20"/>
          <w:szCs w:val="20"/>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fail to meet our publicly announced guidance or other expectations about our business and future results of operations, which would cause our stock price to decline.</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fertility market in which we participate is competitive, and if we do not continue to compete effectively, our results of operations could be harmed.</w:t>
      </w:r>
    </w:p>
    <w:p>
      <w:pPr>
        <w:spacing w:after="0" w:line="234"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Unfavorable conditions in the global economy or our industry could limit our ability to grow our business and negatively affect our results of operations.</w:t>
      </w:r>
    </w:p>
    <w:p>
      <w:pPr>
        <w:spacing w:after="0" w:line="15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8"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1"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attract new clients, our business, financial condition and results of operations would be adversely affected.</w:t>
      </w:r>
    </w:p>
    <w:p>
      <w:pPr>
        <w:spacing w:after="0" w:line="222"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7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significant change in the level or the mix of the utilization of our solutions could have an adverse effect on our business, financial condition and results of operations.</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limited operating history with our current platform of solutions, which makes it difficult to predict our future results of operations.</w:t>
      </w:r>
    </w:p>
    <w:p>
      <w:pPr>
        <w:spacing w:after="0" w:line="222"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5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health benefits industry may be subject to negative publicity, which could adversely affect our business, financial condition and results of operations.</w:t>
      </w:r>
    </w:p>
    <w:p>
      <w:pPr>
        <w:spacing w:after="0" w:line="158"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1" w:lineRule="exact"/>
        <w:rPr>
          <w:rFonts w:ascii="Arial" w:cs="Arial" w:eastAsia="Arial" w:hAnsi="Arial"/>
          <w:sz w:val="17"/>
          <w:szCs w:val="17"/>
          <w:color w:val="auto"/>
        </w:rPr>
      </w:pPr>
    </w:p>
    <w:p>
      <w:pPr>
        <w:ind w:left="640" w:hanging="322"/>
        <w:spacing w:after="0" w:line="321" w:lineRule="auto"/>
        <w:tabs>
          <w:tab w:leader="none" w:pos="63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35"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growth depends in part on the success of our strategic relationships with, and monitoring of, third parties, including channel partners, vendors, as well as insurance carriers.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right="20" w:hanging="322"/>
        <w:spacing w:after="0" w:line="288"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operate in a highly regulated industry and must comply with a significant number of complex and evolving legal and regulatory requirements.</w:t>
      </w:r>
    </w:p>
    <w:p>
      <w:pPr>
        <w:spacing w:after="0" w:line="234"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Unless the context otherwise indicates, references in this Quarterly Report on Form 10-Q to the terms “Progyny,” “the Company,” “we,” “our” and “us” refer to Progyny, Inc. and its wholly owned subsidiaries.</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announce material information to the public through filings with the SEC, our investor relations website at </w:t>
      </w:r>
      <w:r>
        <w:rPr>
          <w:rFonts w:ascii="Arial" w:cs="Arial" w:eastAsia="Arial" w:hAnsi="Arial"/>
          <w:sz w:val="17"/>
          <w:szCs w:val="17"/>
          <w:i w:val="1"/>
          <w:iCs w:val="1"/>
          <w:color w:val="auto"/>
        </w:rPr>
        <w:t>investors.progyny.com</w:t>
      </w:r>
      <w:r>
        <w:rPr>
          <w:rFonts w:ascii="Arial" w:cs="Arial" w:eastAsia="Arial" w:hAnsi="Arial"/>
          <w:sz w:val="17"/>
          <w:szCs w:val="17"/>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2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158,075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120,078</w:t>
            </w:r>
          </w:p>
        </w:tc>
        <w:tc>
          <w:tcPr>
            <w:tcW w:w="0" w:type="dxa"/>
            <w:vAlign w:val="bottom"/>
          </w:tcPr>
          <w:p>
            <w:pPr>
              <w:spacing w:after="0"/>
              <w:rPr>
                <w:sz w:val="1"/>
                <w:szCs w:val="1"/>
                <w:color w:val="auto"/>
              </w:rPr>
            </w:pPr>
          </w:p>
        </w:tc>
      </w:tr>
      <w:tr>
        <w:trPr>
          <w:trHeight w:val="242"/>
        </w:trPr>
        <w:tc>
          <w:tcPr>
            <w:tcW w:w="8200" w:type="dxa"/>
            <w:vAlign w:val="bottom"/>
          </w:tcPr>
          <w:p>
            <w:pPr>
              <w:ind w:left="180"/>
              <w:spacing w:after="0"/>
              <w:rPr>
                <w:sz w:val="20"/>
                <w:szCs w:val="20"/>
                <w:color w:val="auto"/>
              </w:rPr>
            </w:pPr>
            <w:r>
              <w:rPr>
                <w:rFonts w:ascii="Arial" w:cs="Arial" w:eastAsia="Arial" w:hAnsi="Arial"/>
                <w:sz w:val="17"/>
                <w:szCs w:val="17"/>
                <w:color w:val="auto"/>
              </w:rPr>
              <w:t>Marketable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177,477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69,222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Accounts receivable, net of $42,896 and $28,328 of allowances at September 30, 2023 and December 31, 2022,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268,766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240,067</w:t>
            </w:r>
          </w:p>
        </w:tc>
        <w:tc>
          <w:tcPr>
            <w:tcW w:w="0" w:type="dxa"/>
            <w:vAlign w:val="bottom"/>
          </w:tcPr>
          <w:p>
            <w:pPr>
              <w:spacing w:after="0"/>
              <w:rPr>
                <w:sz w:val="1"/>
                <w:szCs w:val="1"/>
                <w:color w:val="auto"/>
              </w:rPr>
            </w:pPr>
          </w:p>
        </w:tc>
      </w:tr>
      <w:tr>
        <w:trPr>
          <w:trHeight w:val="242"/>
        </w:trPr>
        <w:tc>
          <w:tcPr>
            <w:tcW w:w="82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4,489</w:t>
            </w:r>
          </w:p>
        </w:tc>
        <w:tc>
          <w:tcPr>
            <w:tcW w:w="0" w:type="dxa"/>
            <w:vAlign w:val="bottom"/>
          </w:tcPr>
          <w:p>
            <w:pPr>
              <w:spacing w:after="0"/>
              <w:rPr>
                <w:sz w:val="1"/>
                <w:szCs w:val="1"/>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611,272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433,856</w:t>
            </w:r>
          </w:p>
        </w:tc>
        <w:tc>
          <w:tcPr>
            <w:tcW w:w="0" w:type="dxa"/>
            <w:vAlign w:val="bottom"/>
          </w:tcPr>
          <w:p>
            <w:pPr>
              <w:spacing w:after="0"/>
              <w:rPr>
                <w:sz w:val="1"/>
                <w:szCs w:val="1"/>
                <w:color w:val="auto"/>
              </w:rPr>
            </w:pPr>
          </w:p>
        </w:tc>
      </w:tr>
      <w:tr>
        <w:trPr>
          <w:trHeight w:val="242"/>
        </w:trPr>
        <w:tc>
          <w:tcPr>
            <w:tcW w:w="82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8,371</w:t>
            </w:r>
          </w:p>
        </w:tc>
        <w:tc>
          <w:tcPr>
            <w:tcW w:w="0" w:type="dxa"/>
            <w:vAlign w:val="bottom"/>
          </w:tcPr>
          <w:p>
            <w:pPr>
              <w:spacing w:after="0"/>
              <w:rPr>
                <w:sz w:val="1"/>
                <w:szCs w:val="1"/>
                <w:color w:val="auto"/>
              </w:rPr>
            </w:pPr>
          </w:p>
        </w:tc>
      </w:tr>
      <w:tr>
        <w:trPr>
          <w:trHeight w:val="25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6,903</w:t>
            </w:r>
          </w:p>
        </w:tc>
        <w:tc>
          <w:tcPr>
            <w:tcW w:w="0" w:type="dxa"/>
            <w:vAlign w:val="bottom"/>
          </w:tcPr>
          <w:p>
            <w:pPr>
              <w:spacing w:after="0"/>
              <w:rPr>
                <w:sz w:val="1"/>
                <w:szCs w:val="1"/>
                <w:color w:val="auto"/>
              </w:rPr>
            </w:pPr>
          </w:p>
        </w:tc>
      </w:tr>
      <w:tr>
        <w:trPr>
          <w:trHeight w:val="242"/>
        </w:trPr>
        <w:tc>
          <w:tcPr>
            <w:tcW w:w="8200" w:type="dxa"/>
            <w:vAlign w:val="bottom"/>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11,880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11,880</w:t>
            </w:r>
          </w:p>
        </w:tc>
        <w:tc>
          <w:tcPr>
            <w:tcW w:w="0" w:type="dxa"/>
            <w:vAlign w:val="bottom"/>
          </w:tcPr>
          <w:p>
            <w:pPr>
              <w:spacing w:after="0"/>
              <w:rPr>
                <w:sz w:val="1"/>
                <w:szCs w:val="1"/>
                <w:color w:val="auto"/>
              </w:rPr>
            </w:pPr>
          </w:p>
        </w:tc>
      </w:tr>
      <w:tr>
        <w:trPr>
          <w:trHeight w:val="25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42"/>
        </w:trPr>
        <w:tc>
          <w:tcPr>
            <w:tcW w:w="820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72,027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77,889</w:t>
            </w:r>
          </w:p>
        </w:tc>
        <w:tc>
          <w:tcPr>
            <w:tcW w:w="0" w:type="dxa"/>
            <w:vAlign w:val="bottom"/>
          </w:tcPr>
          <w:p>
            <w:pPr>
              <w:spacing w:after="0"/>
              <w:rPr>
                <w:sz w:val="1"/>
                <w:szCs w:val="1"/>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3,988</w:t>
            </w:r>
          </w:p>
        </w:tc>
        <w:tc>
          <w:tcPr>
            <w:tcW w:w="0" w:type="dxa"/>
            <w:vAlign w:val="bottom"/>
          </w:tcPr>
          <w:p>
            <w:pPr>
              <w:spacing w:after="0"/>
              <w:rPr>
                <w:sz w:val="1"/>
                <w:szCs w:val="1"/>
                <w:color w:val="auto"/>
              </w:rPr>
            </w:pPr>
          </w:p>
        </w:tc>
      </w:tr>
      <w:tr>
        <w:trPr>
          <w:trHeight w:val="248"/>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726,512</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542,986</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2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132,040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109,287</w:t>
            </w:r>
          </w:p>
        </w:tc>
        <w:tc>
          <w:tcPr>
            <w:tcW w:w="0" w:type="dxa"/>
            <w:vAlign w:val="bottom"/>
          </w:tcPr>
          <w:p>
            <w:pPr>
              <w:spacing w:after="0"/>
              <w:rPr>
                <w:sz w:val="1"/>
                <w:szCs w:val="1"/>
                <w:color w:val="auto"/>
              </w:rPr>
            </w:pPr>
          </w:p>
        </w:tc>
      </w:tr>
      <w:tr>
        <w:trPr>
          <w:trHeight w:val="242"/>
        </w:trPr>
        <w:tc>
          <w:tcPr>
            <w:tcW w:w="82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Accrued expenses and other current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61,379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50,249</w:t>
            </w:r>
          </w:p>
        </w:tc>
        <w:tc>
          <w:tcPr>
            <w:tcW w:w="0" w:type="dxa"/>
            <w:vAlign w:val="bottom"/>
          </w:tcPr>
          <w:p>
            <w:pPr>
              <w:spacing w:after="0"/>
              <w:rPr>
                <w:sz w:val="1"/>
                <w:szCs w:val="1"/>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159,536</w:t>
            </w:r>
          </w:p>
        </w:tc>
        <w:tc>
          <w:tcPr>
            <w:tcW w:w="0" w:type="dxa"/>
            <w:vAlign w:val="bottom"/>
          </w:tcPr>
          <w:p>
            <w:pPr>
              <w:spacing w:after="0"/>
              <w:rPr>
                <w:sz w:val="1"/>
                <w:szCs w:val="1"/>
                <w:color w:val="auto"/>
              </w:rPr>
            </w:pPr>
          </w:p>
        </w:tc>
      </w:tr>
      <w:tr>
        <w:trPr>
          <w:trHeight w:val="24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noncurrent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6,482</w:t>
            </w:r>
          </w:p>
        </w:tc>
        <w:tc>
          <w:tcPr>
            <w:tcW w:w="0" w:type="dxa"/>
            <w:vAlign w:val="bottom"/>
          </w:tcPr>
          <w:p>
            <w:pPr>
              <w:spacing w:after="0"/>
              <w:rPr>
                <w:sz w:val="1"/>
                <w:szCs w:val="1"/>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166,018</w:t>
            </w:r>
          </w:p>
        </w:tc>
        <w:tc>
          <w:tcPr>
            <w:tcW w:w="0" w:type="dxa"/>
            <w:vAlign w:val="bottom"/>
          </w:tcPr>
          <w:p>
            <w:pPr>
              <w:spacing w:after="0"/>
              <w:rPr>
                <w:sz w:val="1"/>
                <w:szCs w:val="1"/>
                <w:color w:val="auto"/>
              </w:rPr>
            </w:pPr>
          </w:p>
        </w:tc>
      </w:tr>
      <w:tr>
        <w:trPr>
          <w:trHeight w:val="242"/>
        </w:trPr>
        <w:tc>
          <w:tcPr>
            <w:tcW w:w="8200" w:type="dxa"/>
            <w:vAlign w:val="bottom"/>
          </w:tcPr>
          <w:p>
            <w:pPr>
              <w:ind w:left="20"/>
              <w:spacing w:after="0"/>
              <w:rPr>
                <w:sz w:val="20"/>
                <w:szCs w:val="20"/>
                <w:color w:val="auto"/>
              </w:rPr>
            </w:pPr>
            <w:r>
              <w:rPr>
                <w:rFonts w:ascii="Arial" w:cs="Arial" w:eastAsia="Arial" w:hAnsi="Arial"/>
                <w:sz w:val="17"/>
                <w:szCs w:val="17"/>
                <w:color w:val="auto"/>
              </w:rPr>
              <w:t xml:space="preserve">Commitments and Contingencies </w:t>
            </w:r>
            <w:r>
              <w:rPr>
                <w:rFonts w:ascii="Arial" w:cs="Arial" w:eastAsia="Arial" w:hAnsi="Arial"/>
                <w:sz w:val="17"/>
                <w:szCs w:val="17"/>
                <w:i w:val="1"/>
                <w:iCs w:val="1"/>
                <w:color w:val="auto"/>
              </w:rPr>
              <w:t>(Note 6)</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8200" w:type="dxa"/>
            <w:vAlign w:val="bottom"/>
          </w:tcPr>
          <w:p>
            <w:pPr>
              <w:ind w:left="180"/>
              <w:spacing w:after="0" w:line="171" w:lineRule="exact"/>
              <w:rPr>
                <w:sz w:val="20"/>
                <w:szCs w:val="20"/>
                <w:color w:val="auto"/>
              </w:rPr>
            </w:pPr>
            <w:r>
              <w:rPr>
                <w:rFonts w:ascii="Arial" w:cs="Arial" w:eastAsia="Arial" w:hAnsi="Arial"/>
                <w:sz w:val="17"/>
                <w:szCs w:val="17"/>
                <w:color w:val="auto"/>
                <w:w w:val="95"/>
              </w:rPr>
              <w:t>Common stock, $0.0001 par value; 1,000,000,000 shares authorized at September 30, 2023 and December 31,</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0" w:type="dxa"/>
            <w:vAlign w:val="bottom"/>
          </w:tcPr>
          <w:p>
            <w:pPr>
              <w:ind w:left="180"/>
              <w:spacing w:after="0" w:line="170" w:lineRule="exact"/>
              <w:rPr>
                <w:sz w:val="20"/>
                <w:szCs w:val="20"/>
                <w:color w:val="auto"/>
              </w:rPr>
            </w:pPr>
            <w:r>
              <w:rPr>
                <w:rFonts w:ascii="Arial" w:cs="Arial" w:eastAsia="Arial" w:hAnsi="Arial"/>
                <w:sz w:val="17"/>
                <w:szCs w:val="17"/>
                <w:color w:val="auto"/>
                <w:w w:val="93"/>
              </w:rPr>
              <w:t>2022; 95,764,690 and 93,301,156 shares issued and outstanding at September 30, 2023 and December 31, 2022,</w:t>
            </w: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8"/>
        </w:trPr>
        <w:tc>
          <w:tcPr>
            <w:tcW w:w="820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438,044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349,533</w:t>
            </w:r>
          </w:p>
        </w:tc>
        <w:tc>
          <w:tcPr>
            <w:tcW w:w="0" w:type="dxa"/>
            <w:vAlign w:val="bottom"/>
          </w:tcPr>
          <w:p>
            <w:pPr>
              <w:spacing w:after="0"/>
              <w:rPr>
                <w:sz w:val="1"/>
                <w:szCs w:val="1"/>
                <w:color w:val="auto"/>
              </w:rPr>
            </w:pPr>
          </w:p>
        </w:tc>
      </w:tr>
      <w:tr>
        <w:trPr>
          <w:trHeight w:val="242"/>
        </w:trPr>
        <w:tc>
          <w:tcPr>
            <w:tcW w:w="8200" w:type="dxa"/>
            <w:vAlign w:val="bottom"/>
          </w:tcPr>
          <w:p>
            <w:pPr>
              <w:ind w:left="180"/>
              <w:spacing w:after="0"/>
              <w:rPr>
                <w:sz w:val="20"/>
                <w:szCs w:val="20"/>
                <w:color w:val="auto"/>
              </w:rPr>
            </w:pPr>
            <w:r>
              <w:rPr>
                <w:rFonts w:ascii="Arial" w:cs="Arial" w:eastAsia="Arial" w:hAnsi="Arial"/>
                <w:sz w:val="17"/>
                <w:szCs w:val="17"/>
                <w:color w:val="auto"/>
                <w:w w:val="99"/>
              </w:rPr>
              <w:t>Treasury stock, at cost, $0.0001 par value; 615,980 shares at September 30, 2023 and December 31, 2022</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55"/>
        </w:trPr>
        <w:tc>
          <w:tcPr>
            <w:tcW w:w="8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earnings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76,501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27,934</w:t>
            </w:r>
          </w:p>
        </w:tc>
        <w:tc>
          <w:tcPr>
            <w:tcW w:w="0" w:type="dxa"/>
            <w:vAlign w:val="bottom"/>
          </w:tcPr>
          <w:p>
            <w:pPr>
              <w:spacing w:after="0"/>
              <w:rPr>
                <w:sz w:val="1"/>
                <w:szCs w:val="1"/>
                <w:color w:val="auto"/>
              </w:rPr>
            </w:pPr>
          </w:p>
        </w:tc>
      </w:tr>
      <w:tr>
        <w:trPr>
          <w:trHeight w:val="242"/>
        </w:trPr>
        <w:tc>
          <w:tcPr>
            <w:tcW w:w="82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Accumulated other comprehensive income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4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515,393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376,968</w:t>
            </w:r>
          </w:p>
        </w:tc>
        <w:tc>
          <w:tcPr>
            <w:tcW w:w="0" w:type="dxa"/>
            <w:vAlign w:val="bottom"/>
          </w:tcPr>
          <w:p>
            <w:pPr>
              <w:spacing w:after="0"/>
              <w:rPr>
                <w:sz w:val="1"/>
                <w:szCs w:val="1"/>
                <w:color w:val="auto"/>
              </w:rPr>
            </w:pPr>
          </w:p>
        </w:tc>
      </w:tr>
      <w:tr>
        <w:trPr>
          <w:trHeight w:val="248"/>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726,512</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542,986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2022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280,891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205,371</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818,658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572,592</w:t>
            </w:r>
          </w:p>
        </w:tc>
        <w:tc>
          <w:tcPr>
            <w:tcW w:w="0" w:type="dxa"/>
            <w:vAlign w:val="bottom"/>
          </w:tcPr>
          <w:p>
            <w:pPr>
              <w:spacing w:after="0"/>
              <w:rPr>
                <w:sz w:val="1"/>
                <w:szCs w:val="1"/>
                <w:color w:val="auto"/>
              </w:rPr>
            </w:pPr>
          </w:p>
        </w:tc>
      </w:tr>
      <w:tr>
        <w:trPr>
          <w:trHeight w:val="242"/>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services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218,267</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159,376</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636,753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449,761</w:t>
            </w:r>
          </w:p>
        </w:tc>
        <w:tc>
          <w:tcPr>
            <w:tcW w:w="0" w:type="dxa"/>
            <w:vAlign w:val="bottom"/>
          </w:tcPr>
          <w:p>
            <w:pPr>
              <w:spacing w:after="0"/>
              <w:rPr>
                <w:sz w:val="1"/>
                <w:szCs w:val="1"/>
                <w:color w:val="auto"/>
              </w:rPr>
            </w:pPr>
          </w:p>
        </w:tc>
      </w:tr>
      <w:tr>
        <w:trPr>
          <w:trHeight w:val="248"/>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45,995</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181,905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122,831</w:t>
            </w:r>
          </w:p>
        </w:tc>
        <w:tc>
          <w:tcPr>
            <w:tcW w:w="0" w:type="dxa"/>
            <w:vAlign w:val="bottom"/>
          </w:tcPr>
          <w:p>
            <w:pPr>
              <w:spacing w:after="0"/>
              <w:rPr>
                <w:sz w:val="1"/>
                <w:szCs w:val="1"/>
                <w:color w:val="auto"/>
              </w:rPr>
            </w:pPr>
          </w:p>
        </w:tc>
      </w:tr>
      <w:tr>
        <w:trPr>
          <w:trHeight w:val="242"/>
        </w:trPr>
        <w:tc>
          <w:tcPr>
            <w:tcW w:w="48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11,166</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44,577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32,677</w:t>
            </w:r>
          </w:p>
        </w:tc>
        <w:tc>
          <w:tcPr>
            <w:tcW w:w="0" w:type="dxa"/>
            <w:vAlign w:val="bottom"/>
          </w:tcPr>
          <w:p>
            <w:pPr>
              <w:spacing w:after="0"/>
              <w:rPr>
                <w:sz w:val="1"/>
                <w:szCs w:val="1"/>
                <w:color w:val="auto"/>
              </w:rPr>
            </w:pPr>
          </w:p>
        </w:tc>
      </w:tr>
      <w:tr>
        <w:trPr>
          <w:trHeight w:val="242"/>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29,524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23,574</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88,944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70,119</w:t>
            </w:r>
          </w:p>
        </w:tc>
        <w:tc>
          <w:tcPr>
            <w:tcW w:w="0" w:type="dxa"/>
            <w:vAlign w:val="bottom"/>
          </w:tcPr>
          <w:p>
            <w:pPr>
              <w:spacing w:after="0"/>
              <w:rPr>
                <w:sz w:val="1"/>
                <w:szCs w:val="1"/>
                <w:color w:val="auto"/>
              </w:rPr>
            </w:pPr>
          </w:p>
        </w:tc>
      </w:tr>
      <w:tr>
        <w:trPr>
          <w:trHeight w:val="241"/>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44,435</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34,740</w:t>
            </w:r>
          </w:p>
        </w:tc>
        <w:tc>
          <w:tcPr>
            <w:tcW w:w="2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133,521</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102,796</w:t>
            </w: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from operations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18,189</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11,255</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48,384</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20,035</w:t>
            </w:r>
          </w:p>
        </w:tc>
        <w:tc>
          <w:tcPr>
            <w:tcW w:w="0" w:type="dxa"/>
            <w:vAlign w:val="bottom"/>
          </w:tcPr>
          <w:p>
            <w:pPr>
              <w:spacing w:after="0"/>
              <w:rPr>
                <w:sz w:val="1"/>
                <w:szCs w:val="1"/>
                <w:color w:val="auto"/>
              </w:rPr>
            </w:pPr>
          </w:p>
        </w:tc>
      </w:tr>
      <w:tr>
        <w:trPr>
          <w:trHeight w:val="248"/>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80" w:type="dxa"/>
            <w:vAlign w:val="bottom"/>
          </w:tcPr>
          <w:p>
            <w:pPr>
              <w:ind w:left="180"/>
              <w:spacing w:after="0"/>
              <w:rPr>
                <w:sz w:val="20"/>
                <w:szCs w:val="20"/>
                <w:color w:val="auto"/>
              </w:rPr>
            </w:pPr>
            <w:r>
              <w:rPr>
                <w:rFonts w:ascii="Arial" w:cs="Arial" w:eastAsia="Arial" w:hAnsi="Arial"/>
                <w:sz w:val="17"/>
                <w:szCs w:val="17"/>
                <w:color w:val="auto"/>
              </w:rPr>
              <w:t>Other income,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48"/>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 net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income, net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2,742</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6,045</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48"/>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11,539</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54,429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20,300</w:t>
            </w:r>
          </w:p>
        </w:tc>
        <w:tc>
          <w:tcPr>
            <w:tcW w:w="0" w:type="dxa"/>
            <w:vAlign w:val="bottom"/>
          </w:tcPr>
          <w:p>
            <w:pPr>
              <w:spacing w:after="0"/>
              <w:rPr>
                <w:sz w:val="1"/>
                <w:szCs w:val="1"/>
                <w:color w:val="auto"/>
              </w:rPr>
            </w:pPr>
          </w:p>
        </w:tc>
      </w:tr>
      <w:tr>
        <w:trPr>
          <w:trHeight w:val="242"/>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(Provision) benefit for income taxes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1,672</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6,650</w:t>
            </w:r>
          </w:p>
        </w:tc>
        <w:tc>
          <w:tcPr>
            <w:tcW w:w="0" w:type="dxa"/>
            <w:vAlign w:val="bottom"/>
          </w:tcPr>
          <w:p>
            <w:pPr>
              <w:spacing w:after="0"/>
              <w:rPr>
                <w:sz w:val="1"/>
                <w:szCs w:val="1"/>
                <w:color w:val="auto"/>
              </w:rPr>
            </w:pPr>
          </w:p>
        </w:tc>
      </w:tr>
      <w:tr>
        <w:trPr>
          <w:trHeight w:val="27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13,211</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48,567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26,950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48"/>
        </w:trPr>
        <w:tc>
          <w:tcPr>
            <w:tcW w:w="4880" w:type="dxa"/>
            <w:vAlign w:val="bottom"/>
          </w:tcPr>
          <w:p>
            <w:pPr>
              <w:ind w:left="18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0.13</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Weighted-average shares used in computing net income per share:</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95,502,250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92,316,022</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94,698,616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91,901,778</w:t>
            </w:r>
          </w:p>
        </w:tc>
        <w:tc>
          <w:tcPr>
            <w:tcW w:w="0" w:type="dxa"/>
            <w:vAlign w:val="bottom"/>
          </w:tcPr>
          <w:p>
            <w:pPr>
              <w:spacing w:after="0"/>
              <w:rPr>
                <w:sz w:val="1"/>
                <w:szCs w:val="1"/>
                <w:color w:val="auto"/>
              </w:rPr>
            </w:pPr>
          </w:p>
        </w:tc>
      </w:tr>
      <w:tr>
        <w:trPr>
          <w:trHeight w:val="241"/>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100,879,576</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99,819,801</w:t>
            </w:r>
          </w:p>
        </w:tc>
        <w:tc>
          <w:tcPr>
            <w:tcW w:w="2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100,552,705</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99,865,366</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82"/>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r>
      <w:tr>
        <w:trPr>
          <w:trHeight w:val="23"/>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9"/>
        </w:trPr>
        <w:tc>
          <w:tcPr>
            <w:tcW w:w="50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516"/>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6"/>
              <w:spacing w:after="0"/>
              <w:rPr>
                <w:sz w:val="20"/>
                <w:szCs w:val="20"/>
                <w:color w:val="auto"/>
              </w:rPr>
            </w:pPr>
            <w:r>
              <w:rPr>
                <w:rFonts w:ascii="Arial" w:cs="Arial" w:eastAsia="Arial" w:hAnsi="Arial"/>
                <w:sz w:val="14"/>
                <w:szCs w:val="14"/>
                <w:b w:val="1"/>
                <w:bCs w:val="1"/>
                <w:color w:val="auto"/>
                <w:w w:val="89"/>
              </w:rPr>
              <w:t>2022</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1"/>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48,567</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26,950</w:t>
            </w:r>
          </w:p>
        </w:tc>
      </w:tr>
      <w:tr>
        <w:trPr>
          <w:trHeight w:val="242"/>
        </w:trPr>
        <w:tc>
          <w:tcPr>
            <w:tcW w:w="506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5"/>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gain on marketable securities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r>
      <w:tr>
        <w:trPr>
          <w:trHeight w:val="242"/>
        </w:trPr>
        <w:tc>
          <w:tcPr>
            <w:tcW w:w="5060" w:type="dxa"/>
            <w:vAlign w:val="bottom"/>
          </w:tcPr>
          <w:p>
            <w:pPr>
              <w:ind w:left="200"/>
              <w:spacing w:after="0"/>
              <w:rPr>
                <w:sz w:val="20"/>
                <w:szCs w:val="20"/>
                <w:color w:val="auto"/>
              </w:rPr>
            </w:pPr>
            <w:r>
              <w:rPr>
                <w:rFonts w:ascii="Arial" w:cs="Arial" w:eastAsia="Arial" w:hAnsi="Arial"/>
                <w:sz w:val="17"/>
                <w:szCs w:val="17"/>
                <w:color w:val="auto"/>
              </w:rPr>
              <w:t>Foreign currency translation gain</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r>
      <w:tr>
        <w:trPr>
          <w:trHeight w:val="248"/>
        </w:trPr>
        <w:tc>
          <w:tcPr>
            <w:tcW w:w="5060" w:type="dxa"/>
            <w:vAlign w:val="bottom"/>
          </w:tcPr>
          <w:p>
            <w:pPr>
              <w:ind w:left="20"/>
              <w:spacing w:after="0"/>
              <w:rPr>
                <w:sz w:val="20"/>
                <w:szCs w:val="20"/>
                <w:color w:val="auto"/>
              </w:rPr>
            </w:pPr>
            <w:r>
              <w:rPr>
                <w:rFonts w:ascii="Arial" w:cs="Arial" w:eastAsia="Arial" w:hAnsi="Arial"/>
                <w:sz w:val="17"/>
                <w:szCs w:val="17"/>
                <w:color w:val="auto"/>
              </w:rPr>
              <w:t>Total comprehensive income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16,664</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49,914</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27,248</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PROGYNY, INC.</w:t>
      </w:r>
    </w:p>
    <w:p>
      <w:pPr>
        <w:spacing w:after="0" w:line="104"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 thousands, except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80" w:type="dxa"/>
            <w:vAlign w:val="bottom"/>
            <w:gridSpan w:val="3"/>
            <w:vMerge w:val="restart"/>
          </w:tcPr>
          <w:p>
            <w:pPr>
              <w:jc w:val="right"/>
              <w:ind w:right="31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line="120" w:lineRule="exact"/>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0"/>
                <w:szCs w:val="10"/>
                <w:color w:val="auto"/>
              </w:rPr>
            </w:pPr>
          </w:p>
        </w:tc>
        <w:tc>
          <w:tcPr>
            <w:tcW w:w="960" w:type="dxa"/>
            <w:vAlign w:val="bottom"/>
            <w:gridSpan w:val="2"/>
            <w:vMerge w:val="restart"/>
          </w:tcPr>
          <w:p>
            <w:pPr>
              <w:jc w:val="center"/>
              <w:ind w:right="220"/>
              <w:spacing w:after="0" w:line="120" w:lineRule="exact"/>
              <w:rPr>
                <w:sz w:val="20"/>
                <w:szCs w:val="20"/>
                <w:color w:val="auto"/>
              </w:rPr>
            </w:pPr>
            <w:r>
              <w:rPr>
                <w:rFonts w:ascii="Arial" w:cs="Arial" w:eastAsia="Arial" w:hAnsi="Arial"/>
                <w:sz w:val="13"/>
                <w:szCs w:val="13"/>
                <w:b w:val="1"/>
                <w:bCs w:val="1"/>
                <w:color w:val="auto"/>
                <w:w w:val="98"/>
              </w:rPr>
              <w:t>Paid in</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3"/>
                <w:szCs w:val="13"/>
                <w:b w:val="1"/>
                <w:bCs w:val="1"/>
                <w:color w:val="auto"/>
                <w:w w:val="96"/>
              </w:rPr>
              <w:t>Earnings</w:t>
            </w:r>
          </w:p>
        </w:tc>
        <w:tc>
          <w:tcPr>
            <w:tcW w:w="1100" w:type="dxa"/>
            <w:vAlign w:val="bottom"/>
            <w:gridSpan w:val="3"/>
            <w:vMerge w:val="restart"/>
          </w:tcPr>
          <w:p>
            <w:pPr>
              <w:jc w:val="center"/>
              <w:ind w:right="100"/>
              <w:spacing w:after="0" w:line="120" w:lineRule="exact"/>
              <w:rPr>
                <w:sz w:val="20"/>
                <w:szCs w:val="20"/>
                <w:color w:val="auto"/>
              </w:rPr>
            </w:pPr>
            <w:r>
              <w:rPr>
                <w:rFonts w:ascii="Arial" w:cs="Arial" w:eastAsia="Arial" w:hAnsi="Arial"/>
                <w:sz w:val="13"/>
                <w:szCs w:val="13"/>
                <w:b w:val="1"/>
                <w:bCs w:val="1"/>
                <w:color w:val="auto"/>
                <w:w w:val="94"/>
              </w:rPr>
              <w:t>Comprehensive</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5"/>
                <w:szCs w:val="15"/>
                <w:color w:val="auto"/>
              </w:rPr>
            </w:pPr>
          </w:p>
        </w:tc>
        <w:tc>
          <w:tcPr>
            <w:tcW w:w="800" w:type="dxa"/>
            <w:vAlign w:val="bottom"/>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 the three months ended September 30, 2023:</w:t>
            </w: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Balance at June 30, 2023</w:t>
            </w:r>
          </w:p>
        </w:tc>
        <w:tc>
          <w:tcPr>
            <w:tcW w:w="1020" w:type="dxa"/>
            <w:vAlign w:val="bottom"/>
          </w:tcPr>
          <w:p>
            <w:pPr>
              <w:jc w:val="right"/>
              <w:spacing w:after="0"/>
              <w:rPr>
                <w:sz w:val="20"/>
                <w:szCs w:val="20"/>
                <w:color w:val="auto"/>
              </w:rPr>
            </w:pPr>
            <w:r>
              <w:rPr>
                <w:rFonts w:ascii="Arial" w:cs="Arial" w:eastAsia="Arial" w:hAnsi="Arial"/>
                <w:sz w:val="14"/>
                <w:szCs w:val="14"/>
                <w:color w:val="auto"/>
              </w:rPr>
              <w:t>95,165,253</w:t>
            </w:r>
          </w:p>
        </w:tc>
        <w:tc>
          <w:tcPr>
            <w:tcW w:w="80" w:type="dxa"/>
            <w:vAlign w:val="bottom"/>
          </w:tcPr>
          <w:p>
            <w:pPr>
              <w:spacing w:after="0"/>
              <w:rPr>
                <w:sz w:val="16"/>
                <w:szCs w:val="16"/>
                <w:color w:val="auto"/>
              </w:rPr>
            </w:pPr>
          </w:p>
        </w:tc>
        <w:tc>
          <w:tcPr>
            <w:tcW w:w="780" w:type="dxa"/>
            <w:vAlign w:val="bottom"/>
          </w:tcPr>
          <w:p>
            <w:pPr>
              <w:jc w:val="right"/>
              <w:ind w:right="61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420"/>
              <w:spacing w:after="0"/>
              <w:rPr>
                <w:sz w:val="20"/>
                <w:szCs w:val="20"/>
                <w:color w:val="auto"/>
              </w:rPr>
            </w:pPr>
            <w:r>
              <w:rPr>
                <w:rFonts w:ascii="Arial" w:cs="Arial" w:eastAsia="Arial" w:hAnsi="Arial"/>
                <w:sz w:val="14"/>
                <w:szCs w:val="14"/>
                <w:color w:val="auto"/>
                <w:w w:val="94"/>
              </w:rPr>
              <w:t>(1,009)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408,814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60,603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1,082</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469,499</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1"/>
              </w:rPr>
              <w:t>Issuance of employee equity awards, net of shares 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351,765</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31,405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31,405</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Warrant exercise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247,672</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15,898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15,898</w:t>
            </w: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95,764,690</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94"/>
              </w:rPr>
              <w:t>(1,009)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438,044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76,501</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515,393</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For the three months ended September 30, 2022:</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92,056,816</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4"/>
              </w:rPr>
              <w:t>(1,009)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300,691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11,315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311,024</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w w:val="91"/>
              </w:rPr>
              <w:t>Issuance of employee equity awards, net of shares withheld</w:t>
            </w:r>
          </w:p>
        </w:tc>
        <w:tc>
          <w:tcPr>
            <w:tcW w:w="1020" w:type="dxa"/>
            <w:vAlign w:val="bottom"/>
          </w:tcPr>
          <w:p>
            <w:pPr>
              <w:jc w:val="right"/>
              <w:spacing w:after="0"/>
              <w:rPr>
                <w:sz w:val="20"/>
                <w:szCs w:val="20"/>
                <w:color w:val="auto"/>
              </w:rPr>
            </w:pPr>
            <w:r>
              <w:rPr>
                <w:rFonts w:ascii="Arial" w:cs="Arial" w:eastAsia="Arial" w:hAnsi="Arial"/>
                <w:sz w:val="14"/>
                <w:szCs w:val="14"/>
                <w:color w:val="auto"/>
              </w:rPr>
              <w:t>576,368</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23,418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23,418</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13,211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13,211</w:t>
            </w: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92,633,184</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94"/>
              </w:rPr>
              <w:t>(1,009)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323,125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24,526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346,856</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For the nine months ended September 30, 2023:</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93,301,156</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4"/>
              </w:rPr>
              <w:t>(1,009)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349,533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27,934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376,968</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w w:val="91"/>
              </w:rPr>
              <w:t>Issuance of employee equity awards, net of shares withheld</w:t>
            </w:r>
          </w:p>
        </w:tc>
        <w:tc>
          <w:tcPr>
            <w:tcW w:w="1020" w:type="dxa"/>
            <w:vAlign w:val="bottom"/>
          </w:tcPr>
          <w:p>
            <w:pPr>
              <w:jc w:val="right"/>
              <w:spacing w:after="0"/>
              <w:rPr>
                <w:sz w:val="20"/>
                <w:szCs w:val="20"/>
                <w:color w:val="auto"/>
              </w:rPr>
            </w:pPr>
            <w:r>
              <w:rPr>
                <w:rFonts w:ascii="Arial" w:cs="Arial" w:eastAsia="Arial" w:hAnsi="Arial"/>
                <w:sz w:val="14"/>
                <w:szCs w:val="14"/>
                <w:color w:val="auto"/>
              </w:rPr>
              <w:t>2,215,862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94,251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94,251</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rPr>
              <w:t>Warrant exercise</w:t>
            </w:r>
          </w:p>
        </w:tc>
        <w:tc>
          <w:tcPr>
            <w:tcW w:w="1020" w:type="dxa"/>
            <w:vAlign w:val="bottom"/>
          </w:tcPr>
          <w:p>
            <w:pPr>
              <w:jc w:val="right"/>
              <w:spacing w:after="0"/>
              <w:rPr>
                <w:sz w:val="20"/>
                <w:szCs w:val="20"/>
                <w:color w:val="auto"/>
              </w:rPr>
            </w:pPr>
            <w:r>
              <w:rPr>
                <w:rFonts w:ascii="Arial" w:cs="Arial" w:eastAsia="Arial" w:hAnsi="Arial"/>
                <w:sz w:val="14"/>
                <w:szCs w:val="14"/>
                <w:color w:val="auto"/>
              </w:rPr>
              <w:t>247,672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48,567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48,567</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95,764,690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4"/>
              </w:rPr>
              <w:t>(1,009)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438,044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76,501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515,393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nine months ended September 30, 2022:</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1020" w:type="dxa"/>
            <w:vAlign w:val="bottom"/>
          </w:tcPr>
          <w:p>
            <w:pPr>
              <w:jc w:val="right"/>
              <w:spacing w:after="0"/>
              <w:rPr>
                <w:sz w:val="20"/>
                <w:szCs w:val="20"/>
                <w:color w:val="auto"/>
              </w:rPr>
            </w:pPr>
            <w:r>
              <w:rPr>
                <w:rFonts w:ascii="Arial" w:cs="Arial" w:eastAsia="Arial" w:hAnsi="Arial"/>
                <w:sz w:val="14"/>
                <w:szCs w:val="14"/>
                <w:color w:val="auto"/>
              </w:rPr>
              <w:t>91,088,781</w:t>
            </w:r>
          </w:p>
        </w:tc>
        <w:tc>
          <w:tcPr>
            <w:tcW w:w="80" w:type="dxa"/>
            <w:vAlign w:val="bottom"/>
          </w:tcPr>
          <w:p>
            <w:pPr>
              <w:spacing w:after="0"/>
              <w:rPr>
                <w:sz w:val="16"/>
                <w:szCs w:val="16"/>
                <w:color w:val="auto"/>
              </w:rPr>
            </w:pPr>
          </w:p>
        </w:tc>
        <w:tc>
          <w:tcPr>
            <w:tcW w:w="780" w:type="dxa"/>
            <w:vAlign w:val="bottom"/>
          </w:tcPr>
          <w:p>
            <w:pPr>
              <w:jc w:val="right"/>
              <w:ind w:right="61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420"/>
              <w:spacing w:after="0"/>
              <w:rPr>
                <w:sz w:val="20"/>
                <w:szCs w:val="20"/>
                <w:color w:val="auto"/>
              </w:rPr>
            </w:pPr>
            <w:r>
              <w:rPr>
                <w:rFonts w:ascii="Arial" w:cs="Arial" w:eastAsia="Arial" w:hAnsi="Arial"/>
                <w:sz w:val="14"/>
                <w:szCs w:val="14"/>
                <w:color w:val="auto"/>
                <w:w w:val="94"/>
              </w:rPr>
              <w:t>(1,009)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255,339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251,822</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1"/>
              </w:rPr>
              <w:t>Issuance of employee equity awards, net of shares 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1,544,403</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(4,157)</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71,943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71,943</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6"/>
        </w:trPr>
        <w:tc>
          <w:tcPr>
            <w:tcW w:w="35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26,950</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92,633,184</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4"/>
              </w:rPr>
              <w:t>(1,009)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323,125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24,526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346,856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PROGYNY, INC.</w:t>
      </w:r>
    </w:p>
    <w:p>
      <w:pPr>
        <w:spacing w:after="0" w:line="10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 thousands)</w:t>
      </w:r>
    </w:p>
    <w:p>
      <w:pPr>
        <w:spacing w:after="0" w:line="244"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Nine Months Ended</w:t>
      </w:r>
    </w:p>
    <w:p>
      <w:pPr>
        <w:spacing w:after="0" w:line="12"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2022</w:t>
            </w:r>
          </w:p>
        </w:tc>
      </w:tr>
      <w:tr>
        <w:trPr>
          <w:trHeight w:val="23"/>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5"/>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48,567</w:t>
            </w:r>
          </w:p>
        </w:tc>
        <w:tc>
          <w:tcPr>
            <w:tcW w:w="80" w:type="dxa"/>
            <w:vAlign w:val="bottom"/>
          </w:tcPr>
          <w:p>
            <w:pPr>
              <w:spacing w:after="0"/>
              <w:rPr>
                <w:sz w:val="17"/>
                <w:szCs w:val="17"/>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26,950</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1"/>
        </w:trPr>
        <w:tc>
          <w:tcPr>
            <w:tcW w:w="8200" w:type="dxa"/>
            <w:vAlign w:val="bottom"/>
          </w:tcPr>
          <w:p>
            <w:pPr>
              <w:ind w:left="100"/>
              <w:spacing w:after="0"/>
              <w:rPr>
                <w:sz w:val="20"/>
                <w:szCs w:val="20"/>
                <w:color w:val="auto"/>
              </w:rPr>
            </w:pPr>
            <w:r>
              <w:rPr>
                <w:rFonts w:ascii="Arial" w:cs="Arial" w:eastAsia="Arial" w:hAnsi="Arial"/>
                <w:sz w:val="15"/>
                <w:szCs w:val="15"/>
                <w:color w:val="auto"/>
              </w:rPr>
              <w:t>Deferred tax expense (benefit)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5,862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(6,742)</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8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Non-cash interest income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8200" w:type="dxa"/>
            <w:vAlign w:val="bottom"/>
          </w:tcPr>
          <w:p>
            <w:pPr>
              <w:ind w:left="10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1,647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1,155</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8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Stock-based compensation expense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93,812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71,451</w:t>
            </w:r>
          </w:p>
        </w:tc>
      </w:tr>
      <w:tr>
        <w:trPr>
          <w:trHeight w:val="201"/>
        </w:trPr>
        <w:tc>
          <w:tcPr>
            <w:tcW w:w="8200" w:type="dxa"/>
            <w:vAlign w:val="bottom"/>
          </w:tcPr>
          <w:p>
            <w:pPr>
              <w:ind w:left="100"/>
              <w:spacing w:after="0"/>
              <w:rPr>
                <w:sz w:val="20"/>
                <w:szCs w:val="20"/>
                <w:color w:val="auto"/>
              </w:rPr>
            </w:pPr>
            <w:r>
              <w:rPr>
                <w:rFonts w:ascii="Arial" w:cs="Arial" w:eastAsia="Arial" w:hAnsi="Arial"/>
                <w:sz w:val="15"/>
                <w:szCs w:val="15"/>
                <w:color w:val="auto"/>
              </w:rPr>
              <w:t>Bad debt expense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15,062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9,685</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2"/>
        </w:trPr>
        <w:tc>
          <w:tcPr>
            <w:tcW w:w="8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Realized gain on sale of marketable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8200" w:type="dxa"/>
            <w:vAlign w:val="bottom"/>
          </w:tcPr>
          <w:p>
            <w:pPr>
              <w:ind w:left="100"/>
              <w:spacing w:after="0"/>
              <w:rPr>
                <w:sz w:val="20"/>
                <w:szCs w:val="20"/>
                <w:color w:val="auto"/>
              </w:rPr>
            </w:pPr>
            <w:r>
              <w:rPr>
                <w:rFonts w:ascii="Arial" w:cs="Arial" w:eastAsia="Arial" w:hAnsi="Arial"/>
                <w:sz w:val="15"/>
                <w:szCs w:val="15"/>
                <w:color w:val="auto"/>
              </w:rPr>
              <w:t>Foreign currency exchange rate loss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1"/>
        </w:trPr>
        <w:tc>
          <w:tcPr>
            <w:tcW w:w="8200" w:type="dxa"/>
            <w:vAlign w:val="bottom"/>
          </w:tcPr>
          <w:p>
            <w:pPr>
              <w:ind w:left="260"/>
              <w:spacing w:after="0"/>
              <w:rPr>
                <w:sz w:val="20"/>
                <w:szCs w:val="20"/>
                <w:color w:val="auto"/>
              </w:rPr>
            </w:pPr>
            <w:r>
              <w:rPr>
                <w:rFonts w:ascii="Arial" w:cs="Arial" w:eastAsia="Arial" w:hAnsi="Arial"/>
                <w:sz w:val="15"/>
                <w:szCs w:val="15"/>
                <w:color w:val="auto"/>
              </w:rPr>
              <w:t>Accounts receivable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(43,761)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(133,163)</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(2,523)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1,715</w:t>
            </w:r>
          </w:p>
        </w:tc>
      </w:tr>
      <w:tr>
        <w:trPr>
          <w:trHeight w:val="201"/>
        </w:trPr>
        <w:tc>
          <w:tcPr>
            <w:tcW w:w="820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22,884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42,707</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11,744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16,330</w:t>
            </w:r>
          </w:p>
        </w:tc>
      </w:tr>
      <w:tr>
        <w:trPr>
          <w:trHeight w:val="201"/>
        </w:trPr>
        <w:tc>
          <w:tcPr>
            <w:tcW w:w="8200" w:type="dxa"/>
            <w:vAlign w:val="bottom"/>
          </w:tcPr>
          <w:p>
            <w:pPr>
              <w:ind w:left="260"/>
              <w:spacing w:after="0"/>
              <w:rPr>
                <w:sz w:val="20"/>
                <w:szCs w:val="20"/>
                <w:color w:val="auto"/>
              </w:rPr>
            </w:pPr>
            <w:r>
              <w:rPr>
                <w:rFonts w:ascii="Arial" w:cs="Arial" w:eastAsia="Arial" w:hAnsi="Arial"/>
                <w:sz w:val="15"/>
                <w:szCs w:val="15"/>
                <w:color w:val="auto"/>
              </w:rPr>
              <w:t>Other noncurrent assets and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(1,210)</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151,155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28,878</w:t>
            </w:r>
          </w:p>
        </w:tc>
      </w:tr>
      <w:tr>
        <w:trPr>
          <w:trHeight w:val="261"/>
        </w:trPr>
        <w:tc>
          <w:tcPr>
            <w:tcW w:w="8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Purchase of property and equipment, net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(2,963)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(2,520)</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marketable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(262,961)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(125,156)</w:t>
            </w: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Sale of marketable securities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158,813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84,983</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(107,111)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(42,693)</w:t>
            </w:r>
          </w:p>
        </w:tc>
      </w:tr>
      <w:tr>
        <w:trPr>
          <w:trHeight w:val="261"/>
        </w:trPr>
        <w:tc>
          <w:tcPr>
            <w:tcW w:w="8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Proceeds from exercise of stock options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2,130</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Payment of employee taxes related to equity awards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(10,504)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(7,957)</w:t>
            </w: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Proceeds from contributions to employee stock purchase plan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884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749</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(6,047)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(5,078)</w:t>
            </w: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37,997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(18,893)</w:t>
            </w: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120,078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91,413</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158,075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72,520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Cash paid for income taxes, net of refunds received</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2,318</w:t>
            </w:r>
          </w:p>
        </w:tc>
        <w:tc>
          <w:tcPr>
            <w:tcW w:w="80" w:type="dxa"/>
            <w:vAlign w:val="bottom"/>
          </w:tcPr>
          <w:p>
            <w:pPr>
              <w:spacing w:after="0"/>
              <w:rPr>
                <w:sz w:val="17"/>
                <w:szCs w:val="17"/>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146</w:t>
            </w: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1"/>
        </w:trPr>
        <w:tc>
          <w:tcPr>
            <w:tcW w:w="8200" w:type="dxa"/>
            <w:vAlign w:val="bottom"/>
          </w:tcPr>
          <w:p>
            <w:pPr>
              <w:ind w:left="20"/>
              <w:spacing w:after="0"/>
              <w:rPr>
                <w:sz w:val="20"/>
                <w:szCs w:val="20"/>
                <w:color w:val="auto"/>
              </w:rPr>
            </w:pPr>
            <w:r>
              <w:rPr>
                <w:rFonts w:ascii="Arial" w:cs="Arial" w:eastAsia="Arial" w:hAnsi="Arial"/>
                <w:sz w:val="15"/>
                <w:szCs w:val="15"/>
                <w:color w:val="auto"/>
              </w:rPr>
              <w:t>Additions of property and equipment, net included in accounts payable and accrued expenses</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128</w:t>
            </w:r>
          </w:p>
        </w:tc>
        <w:tc>
          <w:tcPr>
            <w:tcW w:w="80" w:type="dxa"/>
            <w:vAlign w:val="bottom"/>
          </w:tcPr>
          <w:p>
            <w:pPr>
              <w:spacing w:after="0"/>
              <w:rPr>
                <w:sz w:val="17"/>
                <w:szCs w:val="17"/>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76</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(Unaudited)</w:t>
      </w:r>
    </w:p>
    <w:p>
      <w:pPr>
        <w:spacing w:after="0" w:line="205" w:lineRule="exact"/>
        <w:rPr>
          <w:sz w:val="20"/>
          <w:szCs w:val="20"/>
          <w:color w:val="auto"/>
        </w:rPr>
      </w:pPr>
    </w:p>
    <w:p>
      <w:pPr>
        <w:ind w:left="640" w:hanging="635"/>
        <w:spacing w:after="0"/>
        <w:tabs>
          <w:tab w:leader="none" w:pos="6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2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Progyny, Inc. (together with its subsidiaries referred to as “Progyny” or the “Company”) was incorporated in the state of Delaware on April 3, 2008, and maintains its corporate headquarters in New York, NY.</w:t>
      </w:r>
    </w:p>
    <w:p>
      <w:pPr>
        <w:spacing w:after="0" w:line="158"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78"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The Company enhanced its fertility benefits solution with the launch of Progyny Rx, its pharmacy benefits solution,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September 30, 2023, the results of the Company's operations for the three and nine months ended September 30, 2023 and 2022 and the results of the Company's cash flows for the nine months ended September 30, 2023 and 2022. Therefore, these unaudited consolidated financial statements should be read in conjunction with the audited consolidated financial statements and related footnotes included in the Company’s Annual Report on Form 10-K for the fiscal year ended December 31, 2022, filed with the SEC on March 1, 2023 (the “Annual Report on Form 10-K”).</w:t>
      </w:r>
    </w:p>
    <w:p>
      <w:pPr>
        <w:spacing w:after="0" w:line="185"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The results for the three and nine months ended September 30, 2023 are not necessarily indicative of the operating results expected for the year ending December 31, 2023 or any other future period. Additionally, the coronavirus ("COVID-19") pandemic continues to evolve and due to the uncertainty of the pandemic, including variants, the Company's customers and members, provider network, specialty pharmacy partners, employees, suppliers, vendors, and other business partners may continue to be impacted in future periods. A resurgence of COVID-19 could have a material adverse effect on the Company’s business, financial condition, results of operations and growth prospects. The Company will continue to assess these potential impacts to its business and will make adjustments to its operations as necessary.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left="640" w:hanging="635"/>
        <w:spacing w:after="0"/>
        <w:tabs>
          <w:tab w:leader="none" w:pos="6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229" w:lineRule="exact"/>
        <w:rPr>
          <w:sz w:val="20"/>
          <w:szCs w:val="20"/>
          <w:color w:val="auto"/>
        </w:rPr>
      </w:pPr>
    </w:p>
    <w:p>
      <w:pPr>
        <w:ind w:right="160" w:firstLine="627"/>
        <w:spacing w:after="0" w:line="288" w:lineRule="auto"/>
        <w:rPr>
          <w:sz w:val="20"/>
          <w:szCs w:val="20"/>
          <w:color w:val="auto"/>
        </w:rPr>
      </w:pPr>
      <w:r>
        <w:rPr>
          <w:rFonts w:ascii="Arial" w:cs="Arial" w:eastAsia="Arial" w:hAnsi="Arial"/>
          <w:sz w:val="17"/>
          <w:szCs w:val="17"/>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3"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applies the following five-step model to recognize revenue from contracts with clients:</w:t>
      </w:r>
    </w:p>
    <w:p>
      <w:pPr>
        <w:spacing w:after="0" w:line="223" w:lineRule="exact"/>
        <w:rPr>
          <w:sz w:val="20"/>
          <w:szCs w:val="20"/>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client;</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Recognition of revenue when, or as, a performance obligation is satisfied.</w:t>
      </w:r>
    </w:p>
    <w:p>
      <w:pPr>
        <w:spacing w:after="0" w:line="22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Progyny’s contracts typically have a stated term of three years and include contractual termination options after the first year, allowing the client to terminate the contract with 30 to 90 days’ notice.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Fertility Benefits Solution Revenue</w:t>
      </w:r>
    </w:p>
    <w:p>
      <w:pPr>
        <w:spacing w:after="0" w:line="22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81"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76"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7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2"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Pharmacy Benefits Solution Revenue</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7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2"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5"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72"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5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were no material contract asset or contract liability balances as of September 30, 2023 and December 31, 2022.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Receivables and Accrued Claims Payable</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79"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As of September 30, 2023 and December 31, 2022, accrued receivables were $63.7 million and $54.6 million, respectively. Accrued receivables are included within accounts receivable in the consolidated balance sheet.</w:t>
      </w:r>
    </w:p>
    <w:p>
      <w:pPr>
        <w:spacing w:after="0" w:line="158"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Accrued claims payable of $37.1 million and $31.1 million as of September 30, 2023 and December 31, 2022, respectively, are included within accrued expenses and other current liabilities in the consolidated balance sheet. Claims payable are generally paid within 30 days based on contractual terms.</w:t>
      </w:r>
    </w:p>
    <w:p>
      <w:pPr>
        <w:spacing w:after="0" w:line="135" w:lineRule="exact"/>
        <w:rPr>
          <w:sz w:val="20"/>
          <w:szCs w:val="20"/>
          <w:color w:val="auto"/>
        </w:rPr>
      </w:pPr>
    </w:p>
    <w:p>
      <w:pPr>
        <w:jc w:val="both"/>
        <w:ind w:firstLine="627"/>
        <w:spacing w:after="0" w:line="324" w:lineRule="auto"/>
        <w:rPr>
          <w:sz w:val="20"/>
          <w:szCs w:val="20"/>
          <w:color w:val="auto"/>
        </w:rPr>
      </w:pPr>
      <w:r>
        <w:rPr>
          <w:rFonts w:ascii="Arial" w:cs="Arial" w:eastAsia="Arial" w:hAnsi="Arial"/>
          <w:sz w:val="15"/>
          <w:szCs w:val="15"/>
          <w:color w:val="auto"/>
        </w:rPr>
        <w:t>As of September 30, 2023 and December 31, 2022, unbilled receivables, which represent claims received and approved but unbilled at the end of the reporting period, were $49.4 million and $42.9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223"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Charged</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26"/>
              <w:spacing w:after="0"/>
              <w:rPr>
                <w:sz w:val="20"/>
                <w:szCs w:val="20"/>
                <w:color w:val="auto"/>
              </w:rPr>
            </w:pPr>
            <w:r>
              <w:rPr>
                <w:rFonts w:ascii="Arial" w:cs="Arial" w:eastAsia="Arial" w:hAnsi="Arial"/>
                <w:sz w:val="14"/>
                <w:szCs w:val="14"/>
                <w:b w:val="1"/>
                <w:bCs w:val="1"/>
                <w:color w:val="auto"/>
                <w:w w:val="89"/>
              </w:rPr>
              <w:t>Balance</w:t>
            </w:r>
          </w:p>
        </w:tc>
      </w:tr>
      <w:tr>
        <w:trPr>
          <w:trHeight w:val="157"/>
        </w:trPr>
        <w:tc>
          <w:tcPr>
            <w:tcW w:w="4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7"/>
              </w:rPr>
              <w:t>Beginning</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2"/>
              </w:rPr>
              <w:t>to Costs</w:t>
            </w: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26"/>
              <w:spacing w:after="0" w:line="157" w:lineRule="exact"/>
              <w:rPr>
                <w:sz w:val="20"/>
                <w:szCs w:val="20"/>
                <w:color w:val="auto"/>
              </w:rPr>
            </w:pPr>
            <w:r>
              <w:rPr>
                <w:rFonts w:ascii="Arial" w:cs="Arial" w:eastAsia="Arial" w:hAnsi="Arial"/>
                <w:sz w:val="14"/>
                <w:szCs w:val="14"/>
                <w:b w:val="1"/>
                <w:bCs w:val="1"/>
                <w:color w:val="auto"/>
                <w:w w:val="93"/>
              </w:rPr>
              <w:t>at End</w:t>
            </w:r>
          </w:p>
        </w:tc>
      </w:tr>
      <w:tr>
        <w:trPr>
          <w:trHeight w:val="195"/>
        </w:trPr>
        <w:tc>
          <w:tcPr>
            <w:tcW w:w="50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 Period</w:t>
            </w: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and Expenses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Write-offs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06"/>
              <w:spacing w:after="0"/>
              <w:rPr>
                <w:sz w:val="20"/>
                <w:szCs w:val="20"/>
                <w:color w:val="auto"/>
              </w:rPr>
            </w:pPr>
            <w:r>
              <w:rPr>
                <w:rFonts w:ascii="Arial" w:cs="Arial" w:eastAsia="Arial" w:hAnsi="Arial"/>
                <w:sz w:val="14"/>
                <w:szCs w:val="14"/>
                <w:b w:val="1"/>
                <w:bCs w:val="1"/>
                <w:color w:val="auto"/>
                <w:w w:val="88"/>
              </w:rPr>
              <w:t>of Period</w:t>
            </w:r>
          </w:p>
        </w:tc>
      </w:tr>
      <w:tr>
        <w:trPr>
          <w:trHeight w:val="23"/>
        </w:trPr>
        <w:tc>
          <w:tcPr>
            <w:tcW w:w="4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1"/>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(494)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42,896</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Fertility Benefits Services</w:t>
      </w:r>
    </w:p>
    <w:p>
      <w:pPr>
        <w:spacing w:after="0" w:line="223"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5"/>
          <w:szCs w:val="15"/>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Pharmacy Benefits Services</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79"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Vendor Rebates</w:t>
      </w:r>
    </w:p>
    <w:p>
      <w:pPr>
        <w:spacing w:after="0" w:line="223"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partners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In May 2021, the FASB issued ASU No. 2021-04 (“ASU 2021-04”) “</w:t>
      </w:r>
      <w:r>
        <w:rPr>
          <w:rFonts w:ascii="Arial" w:cs="Arial" w:eastAsia="Arial" w:hAnsi="Arial"/>
          <w:sz w:val="17"/>
          <w:szCs w:val="17"/>
          <w:i w:val="1"/>
          <w:iCs w:val="1"/>
          <w:color w:val="auto"/>
        </w:rPr>
        <w:t>Earnings Per Share (Topic 260), Debt-Modifications and Extinguishments</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470-50), Compensation- Stock Compensation (Topic 718), and Derivatives and Hedging-Contracts in Entity’s Own Equity (Subtopic 815- 40)</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guidance on modifications or 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pacing w:after="0" w:line="173" w:lineRule="exact"/>
        <w:rPr>
          <w:sz w:val="20"/>
          <w:szCs w:val="20"/>
          <w:color w:val="auto"/>
        </w:rPr>
      </w:pPr>
    </w:p>
    <w:p>
      <w:pPr>
        <w:ind w:left="640" w:hanging="635"/>
        <w:spacing w:after="0"/>
        <w:tabs>
          <w:tab w:leader="none" w:pos="6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Disaggregated revenue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disaggregates revenue by service (in thousands):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r>
      <w:tr>
        <w:trPr>
          <w:trHeight w:val="182"/>
        </w:trPr>
        <w:tc>
          <w:tcPr>
            <w:tcW w:w="4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5"/>
                <w:szCs w:val="15"/>
                <w:color w:val="auto"/>
              </w:rPr>
            </w:pPr>
          </w:p>
        </w:tc>
      </w:tr>
      <w:tr>
        <w:trPr>
          <w:trHeight w:val="23"/>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9"/>
        </w:trPr>
        <w:tc>
          <w:tcPr>
            <w:tcW w:w="4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17"/>
              <w:spacing w:after="0"/>
              <w:rPr>
                <w:sz w:val="20"/>
                <w:szCs w:val="20"/>
                <w:color w:val="auto"/>
              </w:rPr>
            </w:pPr>
            <w:r>
              <w:rPr>
                <w:rFonts w:ascii="Arial" w:cs="Arial" w:eastAsia="Arial" w:hAnsi="Arial"/>
                <w:sz w:val="14"/>
                <w:szCs w:val="14"/>
                <w:b w:val="1"/>
                <w:bCs w:val="1"/>
                <w:color w:val="auto"/>
                <w:w w:val="83"/>
              </w:rPr>
              <w:t>2022</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17"/>
              <w:spacing w:after="0"/>
              <w:rPr>
                <w:sz w:val="20"/>
                <w:szCs w:val="20"/>
                <w:color w:val="auto"/>
              </w:rPr>
            </w:pPr>
            <w:r>
              <w:rPr>
                <w:rFonts w:ascii="Arial" w:cs="Arial" w:eastAsia="Arial" w:hAnsi="Arial"/>
                <w:sz w:val="14"/>
                <w:szCs w:val="14"/>
                <w:b w:val="1"/>
                <w:bCs w:val="1"/>
                <w:color w:val="auto"/>
                <w:w w:val="96"/>
              </w:rPr>
              <w:t>2022</w:t>
            </w:r>
          </w:p>
        </w:tc>
      </w:tr>
      <w:tr>
        <w:trPr>
          <w:trHeight w:val="23"/>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1"/>
        </w:trPr>
        <w:tc>
          <w:tcPr>
            <w:tcW w:w="4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Fertility benefits services revenue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175,110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129,301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504,993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367,009</w:t>
            </w:r>
          </w:p>
        </w:tc>
      </w:tr>
      <w:tr>
        <w:trPr>
          <w:trHeight w:val="242"/>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Pharmacy benefits services revenue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105,781</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76,070</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313,665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205,583</w:t>
            </w:r>
          </w:p>
        </w:tc>
      </w:tr>
      <w:tr>
        <w:trPr>
          <w:trHeight w:val="273"/>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revenue</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280,891</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205,371</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818,658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572,592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640" w:hanging="635"/>
        <w:spacing w:after="0"/>
        <w:tabs>
          <w:tab w:leader="none" w:pos="6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229"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assets or liabilities.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2 — Inputs, other than quoted prices in active markets, that are observable either directly or indirectly.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Level 3 — Prices or valuation techniques that require inputs that are both significant to the fair value of the asset or liability and supported by little or no market activity.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uses observable market data when available, and minimizes the use of unobservable inputs when determining fair value.</w:t>
      </w:r>
    </w:p>
    <w:p>
      <w:pPr>
        <w:spacing w:after="0" w:line="223"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As of September 30, 2023 and December 31, 2022, the Company had $64.1 million and $120.6 million, respectively, in financial assets held in money market accounts and $205.3 million and $69.2 million, respectively, held in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76"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As of September 30, 2023 and December 31, 2022, the Company did not have any assets or liabilities classified as Level 2 or Level 3 in the fair value hierarchy.</w:t>
      </w:r>
    </w:p>
    <w:p>
      <w:pPr>
        <w:spacing w:after="0" w:line="152" w:lineRule="exact"/>
        <w:rPr>
          <w:sz w:val="20"/>
          <w:szCs w:val="20"/>
          <w:color w:val="auto"/>
        </w:rPr>
      </w:pPr>
    </w:p>
    <w:p>
      <w:pPr>
        <w:ind w:left="640" w:hanging="635"/>
        <w:spacing w:after="0"/>
        <w:tabs>
          <w:tab w:leader="none" w:pos="6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2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72"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In February 2023, the Company's lease agreement for the additional 24,099 square foot office in its corporate offices commenced in New York, NY and is expected to expire in the fourth quarter of 2035. In accordance with ASC 842, the Company recorded right-of-use assets and lease liabilities of $12.2 million and $12.1 million, respectively. Pursuant to the lease, the Company is obligated to pay the base rent of approximately $1.4 million per annum beginning in April 2024 through the end of the fifth lease year and approximately $1.5 million per annum thereafter through the expiration date.</w:t>
      </w:r>
    </w:p>
    <w:p>
      <w:pPr>
        <w:spacing w:after="0" w:line="162"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Company recognizes lease expense on a straight-line basis over the lease term. Lease expense for the three months ended September 30, 2023 and 2022 was $0.7 million and $0.3 million, respectively. For the nine months ended September 30, 2023 and 2022, lease expense was $1.7 million and $0.9 million, respectively.</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Cash outflows from operating activities attributable to the operating leases for each of the nine months ended September 30, 2023 and 2022 was $1.0</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million.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Information related to the Company's leases is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4620" w:type="dxa"/>
            <w:vAlign w:val="bottom"/>
            <w:gridSpan w:val="2"/>
          </w:tcPr>
          <w:p>
            <w:pPr>
              <w:ind w:left="15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5"/>
                <w:szCs w:val="15"/>
                <w:color w:val="auto"/>
              </w:rPr>
            </w:pPr>
          </w:p>
        </w:tc>
        <w:tc>
          <w:tcPr>
            <w:tcW w:w="134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3"/>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Leases</w:t>
            </w: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58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w:t>
            </w: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right-of-use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6,903</w:t>
            </w:r>
          </w:p>
        </w:tc>
        <w:tc>
          <w:tcPr>
            <w:tcW w:w="0" w:type="dxa"/>
            <w:vAlign w:val="bottom"/>
          </w:tcPr>
          <w:p>
            <w:pPr>
              <w:spacing w:after="0"/>
              <w:rPr>
                <w:sz w:val="1"/>
                <w:szCs w:val="1"/>
                <w:color w:val="auto"/>
              </w:rPr>
            </w:pPr>
          </w:p>
        </w:tc>
      </w:tr>
      <w:tr>
        <w:trPr>
          <w:trHeight w:val="242"/>
        </w:trPr>
        <w:tc>
          <w:tcPr>
            <w:tcW w:w="3580" w:type="dxa"/>
            <w:vAlign w:val="bottom"/>
          </w:tcPr>
          <w:p>
            <w:pPr>
              <w:ind w:left="20"/>
              <w:spacing w:after="0"/>
              <w:rPr>
                <w:sz w:val="20"/>
                <w:szCs w:val="20"/>
                <w:color w:val="auto"/>
              </w:rPr>
            </w:pPr>
            <w:r>
              <w:rPr>
                <w:rFonts w:ascii="Arial" w:cs="Arial" w:eastAsia="Arial" w:hAnsi="Arial"/>
                <w:sz w:val="17"/>
                <w:szCs w:val="17"/>
                <w:color w:val="auto"/>
              </w:rPr>
              <w:t>Short-term lease liabilities</w:t>
            </w:r>
          </w:p>
        </w:tc>
        <w:tc>
          <w:tcPr>
            <w:tcW w:w="4620" w:type="dxa"/>
            <w:vAlign w:val="bottom"/>
            <w:gridSpan w:val="2"/>
          </w:tcPr>
          <w:p>
            <w:pPr>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1,790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1,231</w:t>
            </w:r>
          </w:p>
        </w:tc>
        <w:tc>
          <w:tcPr>
            <w:tcW w:w="0" w:type="dxa"/>
            <w:vAlign w:val="bottom"/>
          </w:tcPr>
          <w:p>
            <w:pPr>
              <w:spacing w:after="0"/>
              <w:rPr>
                <w:sz w:val="1"/>
                <w:szCs w:val="1"/>
                <w:color w:val="auto"/>
              </w:rPr>
            </w:pPr>
          </w:p>
        </w:tc>
      </w:tr>
      <w:tr>
        <w:trPr>
          <w:trHeight w:val="25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lease liabilities</w:t>
            </w: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noncurrent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6,482</w:t>
            </w: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4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200" w:type="dxa"/>
            <w:vAlign w:val="bottom"/>
            <w:gridSpan w:val="3"/>
          </w:tcPr>
          <w:p>
            <w:pPr>
              <w:ind w:left="20"/>
              <w:spacing w:after="0"/>
              <w:rPr>
                <w:sz w:val="20"/>
                <w:szCs w:val="20"/>
                <w:color w:val="auto"/>
              </w:rPr>
            </w:pPr>
            <w:r>
              <w:rPr>
                <w:rFonts w:ascii="Arial" w:cs="Arial" w:eastAsia="Arial" w:hAnsi="Arial"/>
                <w:sz w:val="17"/>
                <w:szCs w:val="17"/>
                <w:color w:val="auto"/>
              </w:rPr>
              <w:t>Weighted-average remaining lease term, operating lease</w:t>
            </w:r>
          </w:p>
        </w:tc>
        <w:tc>
          <w:tcPr>
            <w:tcW w:w="120" w:type="dxa"/>
            <w:vAlign w:val="bottom"/>
          </w:tcPr>
          <w:p>
            <w:pPr>
              <w:spacing w:after="0"/>
              <w:rPr>
                <w:sz w:val="21"/>
                <w:szCs w:val="21"/>
                <w:color w:val="auto"/>
              </w:rPr>
            </w:pPr>
          </w:p>
        </w:tc>
        <w:tc>
          <w:tcPr>
            <w:tcW w:w="1440" w:type="dxa"/>
            <w:vAlign w:val="bottom"/>
            <w:gridSpan w:val="2"/>
          </w:tcPr>
          <w:p>
            <w:pPr>
              <w:ind w:left="700"/>
              <w:spacing w:after="0"/>
              <w:rPr>
                <w:sz w:val="20"/>
                <w:szCs w:val="20"/>
                <w:color w:val="auto"/>
              </w:rPr>
            </w:pPr>
            <w:r>
              <w:rPr>
                <w:rFonts w:ascii="Arial" w:cs="Arial" w:eastAsia="Arial" w:hAnsi="Arial"/>
                <w:sz w:val="17"/>
                <w:szCs w:val="17"/>
                <w:color w:val="auto"/>
              </w:rPr>
              <w:t>9.8 years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6.4 years</w:t>
            </w:r>
          </w:p>
        </w:tc>
        <w:tc>
          <w:tcPr>
            <w:tcW w:w="0" w:type="dxa"/>
            <w:vAlign w:val="bottom"/>
          </w:tcPr>
          <w:p>
            <w:pPr>
              <w:spacing w:after="0"/>
              <w:rPr>
                <w:sz w:val="1"/>
                <w:szCs w:val="1"/>
                <w:color w:val="auto"/>
              </w:rPr>
            </w:pPr>
          </w:p>
        </w:tc>
      </w:tr>
      <w:tr>
        <w:trPr>
          <w:trHeight w:val="25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Weighted-average discount rate, operating lease</w:t>
            </w:r>
          </w:p>
        </w:tc>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875"/>
        </w:trPr>
        <w:tc>
          <w:tcPr>
            <w:tcW w:w="3580" w:type="dxa"/>
            <w:vAlign w:val="bottom"/>
          </w:tcPr>
          <w:p>
            <w:pPr>
              <w:spacing w:after="0"/>
              <w:rPr>
                <w:sz w:val="24"/>
                <w:szCs w:val="24"/>
                <w:color w:val="auto"/>
              </w:rPr>
            </w:pPr>
          </w:p>
        </w:tc>
        <w:tc>
          <w:tcPr>
            <w:tcW w:w="4520" w:type="dxa"/>
            <w:vAlign w:val="bottom"/>
          </w:tcPr>
          <w:p>
            <w:pPr>
              <w:ind w:left="196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5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Future minimum facility lease payments related to the Company's operating lease liabilities as of September 30, 2023 were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Operating Lease Payments as of September 30,</w:t>
            </w: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2940" w:type="dxa"/>
            <w:vAlign w:val="bottom"/>
          </w:tcPr>
          <w:p>
            <w:pPr>
              <w:jc w:val="right"/>
              <w:ind w:right="1296"/>
              <w:spacing w:after="0"/>
              <w:rPr>
                <w:sz w:val="20"/>
                <w:szCs w:val="20"/>
                <w:color w:val="auto"/>
              </w:rPr>
            </w:pPr>
            <w:r>
              <w:rPr>
                <w:rFonts w:ascii="Arial" w:cs="Arial" w:eastAsia="Arial" w:hAnsi="Arial"/>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1"/>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42"/>
        </w:trPr>
        <w:tc>
          <w:tcPr>
            <w:tcW w:w="818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2,250</w:t>
            </w:r>
          </w:p>
        </w:tc>
      </w:tr>
      <w:tr>
        <w:trPr>
          <w:trHeight w:val="255"/>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22"/>
                <w:szCs w:val="22"/>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w:t>
            </w:r>
          </w:p>
        </w:tc>
      </w:tr>
      <w:tr>
        <w:trPr>
          <w:trHeight w:val="242"/>
        </w:trPr>
        <w:tc>
          <w:tcPr>
            <w:tcW w:w="8180" w:type="dxa"/>
            <w:vAlign w:val="bottom"/>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2,793</w:t>
            </w:r>
          </w:p>
        </w:tc>
      </w:tr>
      <w:tr>
        <w:trPr>
          <w:trHeight w:val="255"/>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22"/>
                <w:szCs w:val="22"/>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w:t>
            </w:r>
          </w:p>
        </w:tc>
      </w:tr>
      <w:tr>
        <w:trPr>
          <w:trHeight w:val="24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13,641</w:t>
            </w: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24,591</w:t>
            </w:r>
          </w:p>
        </w:tc>
      </w:tr>
      <w:tr>
        <w:trPr>
          <w:trHeight w:val="24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5,101</w:t>
            </w: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19,490</w:t>
            </w:r>
          </w:p>
        </w:tc>
      </w:tr>
      <w:tr>
        <w:trPr>
          <w:trHeight w:val="24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 of operating lease liabilities</w:t>
            </w: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1,790</w:t>
            </w: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noncurrent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17,700</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February 2022 Lease Agreement</w:t>
      </w:r>
    </w:p>
    <w:p>
      <w:pPr>
        <w:spacing w:after="0" w:line="223"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As noted above, the Company commenced its lease for the 24,099 square foot office in its corporate offices in New York, NY in February 2023, pursuant to a lease agreement entered into by the Company in February 2022. The lease agreement also provides for additional space in the Company's corporate offices, including an additional 21,262 square foot office and continued occupancy of the 25,212 square foot office after the expiration of the current sublease. For the 21,262 square foot office, the lease commencement date, which is when the premises will become available to the Company for use, is currently expected to be in the fourth quarter of 2024. The Company is obligated to pay the base rent of approximately $1.3 million starting in the fourth quarter of 2025 for five years and approximately $1.4 million per year thereafter through the fourth quarter of 2035, the expected expiration date. For the current 25,212 square foot office, the Company is obligated to pay the base rent of approximately $1.6 million per year beginning in June 2029, which is the lease commencement, through the fourth quarter of 2035, the expected expiration date.</w:t>
      </w:r>
    </w:p>
    <w:p>
      <w:pPr>
        <w:spacing w:after="0" w:line="165" w:lineRule="exact"/>
        <w:rPr>
          <w:sz w:val="20"/>
          <w:szCs w:val="20"/>
          <w:color w:val="auto"/>
        </w:rPr>
      </w:pPr>
    </w:p>
    <w:p>
      <w:pPr>
        <w:ind w:left="640" w:hanging="635"/>
        <w:spacing w:after="0"/>
        <w:tabs>
          <w:tab w:leader="none" w:pos="6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2"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66" w:lineRule="exact"/>
        <w:rPr>
          <w:sz w:val="20"/>
          <w:szCs w:val="20"/>
          <w:color w:val="auto"/>
        </w:rPr>
      </w:pPr>
    </w:p>
    <w:p>
      <w:pPr>
        <w:ind w:left="640" w:hanging="635"/>
        <w:spacing w:after="0"/>
        <w:tabs>
          <w:tab w:leader="none" w:pos="6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Expense</w:t>
      </w:r>
    </w:p>
    <w:p>
      <w:pPr>
        <w:spacing w:after="0" w:line="228"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6"/>
          <w:szCs w:val="16"/>
          <w:color w:val="auto"/>
        </w:rPr>
        <w:t>The following table summarizes stock-based compensation expense, which was included in the statements of operations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ind w:left="560"/>
              <w:spacing w:after="0"/>
              <w:rPr>
                <w:sz w:val="20"/>
                <w:szCs w:val="20"/>
                <w:color w:val="auto"/>
              </w:rPr>
            </w:pPr>
            <w:r>
              <w:rPr>
                <w:rFonts w:ascii="Arial" w:cs="Arial" w:eastAsia="Arial" w:hAnsi="Arial"/>
                <w:sz w:val="14"/>
                <w:szCs w:val="14"/>
                <w:b w:val="1"/>
                <w:bCs w:val="1"/>
                <w:color w:val="auto"/>
                <w:w w:val="91"/>
              </w:rPr>
              <w:t>Nine Months Ended</w:t>
            </w:r>
          </w:p>
        </w:tc>
        <w:tc>
          <w:tcPr>
            <w:tcW w:w="900" w:type="dxa"/>
            <w:vAlign w:val="bottom"/>
          </w:tcPr>
          <w:p>
            <w:pPr>
              <w:spacing w:after="0"/>
              <w:rPr>
                <w:sz w:val="14"/>
                <w:szCs w:val="14"/>
                <w:color w:val="auto"/>
              </w:rPr>
            </w:pPr>
          </w:p>
        </w:tc>
      </w:tr>
      <w:tr>
        <w:trPr>
          <w:trHeight w:val="182"/>
        </w:trPr>
        <w:tc>
          <w:tcPr>
            <w:tcW w:w="4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ind w:left="7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9"/>
        </w:trPr>
        <w:tc>
          <w:tcPr>
            <w:tcW w:w="4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ind w:right="496"/>
              <w:spacing w:after="0"/>
              <w:rPr>
                <w:sz w:val="20"/>
                <w:szCs w:val="20"/>
                <w:color w:val="auto"/>
              </w:rPr>
            </w:pPr>
            <w:r>
              <w:rPr>
                <w:rFonts w:ascii="Arial" w:cs="Arial" w:eastAsia="Arial" w:hAnsi="Arial"/>
                <w:sz w:val="14"/>
                <w:szCs w:val="14"/>
                <w:b w:val="1"/>
                <w:bCs w:val="1"/>
                <w:color w:val="auto"/>
                <w:w w:val="96"/>
              </w:rPr>
              <w:t>2022</w:t>
            </w:r>
          </w:p>
        </w:tc>
      </w:tr>
      <w:tr>
        <w:trPr>
          <w:trHeight w:val="23"/>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1"/>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6,268</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25,967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18,603</w:t>
            </w:r>
          </w:p>
        </w:tc>
      </w:tr>
      <w:tr>
        <w:trPr>
          <w:trHeight w:val="242"/>
        </w:trPr>
        <w:tc>
          <w:tcPr>
            <w:tcW w:w="490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6,938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5,184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560"/>
              <w:spacing w:after="0"/>
              <w:rPr>
                <w:sz w:val="20"/>
                <w:szCs w:val="20"/>
                <w:color w:val="auto"/>
              </w:rPr>
            </w:pPr>
            <w:r>
              <w:rPr>
                <w:rFonts w:ascii="Arial" w:cs="Arial" w:eastAsia="Arial" w:hAnsi="Arial"/>
                <w:sz w:val="17"/>
                <w:szCs w:val="17"/>
                <w:color w:val="auto"/>
              </w:rPr>
              <w:t>20,389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15,026</w:t>
            </w:r>
          </w:p>
        </w:tc>
      </w:tr>
      <w:tr>
        <w:trPr>
          <w:trHeight w:val="248"/>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15,372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11,845</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47,456</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37,822</w:t>
            </w:r>
          </w:p>
        </w:tc>
      </w:tr>
      <w:tr>
        <w:trPr>
          <w:trHeight w:val="235"/>
        </w:trPr>
        <w:tc>
          <w:tcPr>
            <w:tcW w:w="4900" w:type="dxa"/>
            <w:vAlign w:val="bottom"/>
          </w:tcPr>
          <w:p>
            <w:pPr>
              <w:ind w:left="180"/>
              <w:spacing w:after="0"/>
              <w:rPr>
                <w:sz w:val="20"/>
                <w:szCs w:val="20"/>
                <w:color w:val="auto"/>
              </w:rPr>
            </w:pPr>
            <w:r>
              <w:rPr>
                <w:rFonts w:ascii="Arial" w:cs="Arial" w:eastAsia="Arial" w:hAnsi="Arial"/>
                <w:sz w:val="17"/>
                <w:szCs w:val="17"/>
                <w:color w:val="auto"/>
              </w:rPr>
              <w:t>Total stock-based compensation expense</w:t>
            </w:r>
          </w:p>
        </w:tc>
        <w:tc>
          <w:tcPr>
            <w:tcW w:w="880" w:type="dxa"/>
            <w:vAlign w:val="bottom"/>
          </w:tcPr>
          <w:p>
            <w:pPr>
              <w:jc w:val="right"/>
              <w:ind w:right="699"/>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9"/>
              </w:rPr>
              <w:t>31,251</w:t>
            </w:r>
          </w:p>
        </w:tc>
        <w:tc>
          <w:tcPr>
            <w:tcW w:w="100" w:type="dxa"/>
            <w:vAlign w:val="bottom"/>
          </w:tcPr>
          <w:p>
            <w:pPr>
              <w:spacing w:after="0"/>
              <w:rPr>
                <w:sz w:val="20"/>
                <w:szCs w:val="20"/>
                <w:color w:val="auto"/>
              </w:rPr>
            </w:pP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23,297</w:t>
            </w:r>
          </w:p>
        </w:tc>
        <w:tc>
          <w:tcPr>
            <w:tcW w:w="24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Pr>
          <w:p>
            <w:pPr>
              <w:ind w:left="560"/>
              <w:spacing w:after="0"/>
              <w:rPr>
                <w:sz w:val="20"/>
                <w:szCs w:val="20"/>
                <w:color w:val="auto"/>
              </w:rPr>
            </w:pPr>
            <w:r>
              <w:rPr>
                <w:rFonts w:ascii="Arial" w:cs="Arial" w:eastAsia="Arial" w:hAnsi="Arial"/>
                <w:sz w:val="17"/>
                <w:szCs w:val="17"/>
                <w:color w:val="auto"/>
              </w:rPr>
              <w:t>93,812</w:t>
            </w:r>
          </w:p>
        </w:tc>
        <w:tc>
          <w:tcPr>
            <w:tcW w:w="100" w:type="dxa"/>
            <w:vAlign w:val="bottom"/>
          </w:tcPr>
          <w:p>
            <w:pPr>
              <w:spacing w:after="0"/>
              <w:rPr>
                <w:sz w:val="20"/>
                <w:szCs w:val="20"/>
                <w:color w:val="auto"/>
              </w:rPr>
            </w:pP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71,451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0" w:hanging="635"/>
        <w:spacing w:after="0"/>
        <w:tabs>
          <w:tab w:leader="none" w:pos="6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For the nine months ended September 30, 2023 and 2022,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nine months ended September 30, 2023, the Company recorded a provision for income taxes of $5.9 million, primarily driven by the Company's operating profit, partially offset by equity compensation activity that occurred during the period. During the nine months ended September 30, 2022, the Company recorded a benefit for income taxes of $6.7 million, primarily due to equity compensation activity that occurred during the period.</w:t>
      </w:r>
    </w:p>
    <w:p>
      <w:pPr>
        <w:spacing w:after="0" w:line="179" w:lineRule="exact"/>
        <w:rPr>
          <w:sz w:val="20"/>
          <w:szCs w:val="20"/>
          <w:color w:val="auto"/>
        </w:rPr>
      </w:pPr>
    </w:p>
    <w:p>
      <w:pPr>
        <w:ind w:left="640" w:hanging="635"/>
        <w:spacing w:after="0"/>
        <w:tabs>
          <w:tab w:leader="none" w:pos="6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Per Share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Basic net income per share is calculated by dividing the net income by the weighted-average number of shares of common stock outstanding for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period.</w:t>
      </w:r>
    </w:p>
    <w:p>
      <w:pPr>
        <w:spacing w:after="0" w:line="211" w:lineRule="exact"/>
        <w:rPr>
          <w:sz w:val="20"/>
          <w:szCs w:val="20"/>
          <w:color w:val="auto"/>
        </w:rPr>
      </w:pPr>
    </w:p>
    <w:p>
      <w:pPr>
        <w:jc w:val="both"/>
        <w:ind w:firstLine="627"/>
        <w:spacing w:after="0" w:line="307" w:lineRule="auto"/>
        <w:rPr>
          <w:sz w:val="20"/>
          <w:szCs w:val="20"/>
          <w:color w:val="auto"/>
        </w:rPr>
      </w:pPr>
      <w:r>
        <w:rPr>
          <w:rFonts w:ascii="Arial" w:cs="Arial" w:eastAsia="Arial" w:hAnsi="Arial"/>
          <w:sz w:val="15"/>
          <w:szCs w:val="15"/>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 A reconciliation of net income and the number of shares in the calculation of basic and diluted net income per share is as follows (in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47"/>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23"/>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2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Basic net income per common share:</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15,898</w:t>
            </w:r>
          </w:p>
        </w:tc>
        <w:tc>
          <w:tcPr>
            <w:tcW w:w="100" w:type="dxa"/>
            <w:vAlign w:val="bottom"/>
          </w:tcPr>
          <w:p>
            <w:pPr>
              <w:spacing w:after="0"/>
              <w:rPr>
                <w:sz w:val="17"/>
                <w:szCs w:val="17"/>
                <w:color w:val="auto"/>
              </w:rPr>
            </w:pP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13,211</w:t>
            </w:r>
          </w:p>
        </w:tc>
        <w:tc>
          <w:tcPr>
            <w:tcW w:w="24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48,567</w:t>
            </w:r>
          </w:p>
        </w:tc>
        <w:tc>
          <w:tcPr>
            <w:tcW w:w="80" w:type="dxa"/>
            <w:vAlign w:val="bottom"/>
          </w:tcPr>
          <w:p>
            <w:pPr>
              <w:spacing w:after="0"/>
              <w:rPr>
                <w:sz w:val="17"/>
                <w:szCs w:val="17"/>
                <w:color w:val="auto"/>
              </w:rPr>
            </w:pP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26,950</w:t>
            </w: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9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Weighted-average shares used in computing basic 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95,502,250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92,316,022</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94,698,616</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91,901,778</w:t>
            </w:r>
          </w:p>
        </w:tc>
        <w:tc>
          <w:tcPr>
            <w:tcW w:w="0" w:type="dxa"/>
            <w:vAlign w:val="bottom"/>
          </w:tcPr>
          <w:p>
            <w:pPr>
              <w:spacing w:after="0"/>
              <w:rPr>
                <w:sz w:val="1"/>
                <w:szCs w:val="1"/>
                <w:color w:val="auto"/>
              </w:rPr>
            </w:pPr>
          </w:p>
        </w:tc>
      </w:tr>
      <w:tr>
        <w:trPr>
          <w:trHeight w:val="225"/>
        </w:trPr>
        <w:tc>
          <w:tcPr>
            <w:tcW w:w="4900" w:type="dxa"/>
            <w:vAlign w:val="bottom"/>
          </w:tcPr>
          <w:p>
            <w:pPr>
              <w:ind w:left="180"/>
              <w:spacing w:after="0"/>
              <w:rPr>
                <w:sz w:val="20"/>
                <w:szCs w:val="20"/>
                <w:color w:val="auto"/>
              </w:rPr>
            </w:pPr>
            <w:r>
              <w:rPr>
                <w:rFonts w:ascii="Arial" w:cs="Arial" w:eastAsia="Arial" w:hAnsi="Arial"/>
                <w:sz w:val="16"/>
                <w:szCs w:val="16"/>
                <w:color w:val="auto"/>
              </w:rPr>
              <w:t>Basic net income per share</w:t>
            </w: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Diluted net income per common share:</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15,898</w:t>
            </w:r>
          </w:p>
        </w:tc>
        <w:tc>
          <w:tcPr>
            <w:tcW w:w="100" w:type="dxa"/>
            <w:vAlign w:val="bottom"/>
          </w:tcPr>
          <w:p>
            <w:pPr>
              <w:spacing w:after="0"/>
              <w:rPr>
                <w:sz w:val="17"/>
                <w:szCs w:val="17"/>
                <w:color w:val="auto"/>
              </w:rPr>
            </w:pP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13,211</w:t>
            </w:r>
          </w:p>
        </w:tc>
        <w:tc>
          <w:tcPr>
            <w:tcW w:w="24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48,567</w:t>
            </w:r>
          </w:p>
        </w:tc>
        <w:tc>
          <w:tcPr>
            <w:tcW w:w="80" w:type="dxa"/>
            <w:vAlign w:val="bottom"/>
          </w:tcPr>
          <w:p>
            <w:pPr>
              <w:spacing w:after="0"/>
              <w:rPr>
                <w:sz w:val="17"/>
                <w:szCs w:val="17"/>
                <w:color w:val="auto"/>
              </w:rPr>
            </w:pP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26,950</w:t>
            </w: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9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Weighted-average shares used in computing basic net income per share</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95,502,250</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92,316,022</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94,698,616</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91,901,778</w:t>
            </w: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5,377,326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7,503,779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5,854,089</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7,963,588</w:t>
            </w:r>
          </w:p>
        </w:tc>
        <w:tc>
          <w:tcPr>
            <w:tcW w:w="0" w:type="dxa"/>
            <w:vAlign w:val="bottom"/>
          </w:tcPr>
          <w:p>
            <w:pPr>
              <w:spacing w:after="0"/>
              <w:rPr>
                <w:sz w:val="1"/>
                <w:szCs w:val="1"/>
                <w:color w:val="auto"/>
              </w:rPr>
            </w:pPr>
          </w:p>
        </w:tc>
      </w:tr>
      <w:tr>
        <w:trPr>
          <w:trHeight w:val="32"/>
        </w:trPr>
        <w:tc>
          <w:tcPr>
            <w:tcW w:w="4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9"/>
              </w:rPr>
              <w:t>Weighted-average shares used in computing diluted net income per share</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100,879,576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99,819,801</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100,552,705</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99,865,366</w:t>
            </w:r>
          </w:p>
        </w:tc>
        <w:tc>
          <w:tcPr>
            <w:tcW w:w="0" w:type="dxa"/>
            <w:vAlign w:val="bottom"/>
          </w:tcPr>
          <w:p>
            <w:pPr>
              <w:spacing w:after="0"/>
              <w:rPr>
                <w:sz w:val="1"/>
                <w:szCs w:val="1"/>
                <w:color w:val="auto"/>
              </w:rPr>
            </w:pPr>
          </w:p>
        </w:tc>
      </w:tr>
      <w:tr>
        <w:trPr>
          <w:trHeight w:val="225"/>
        </w:trPr>
        <w:tc>
          <w:tcPr>
            <w:tcW w:w="4900" w:type="dxa"/>
            <w:vAlign w:val="bottom"/>
          </w:tcPr>
          <w:p>
            <w:pPr>
              <w:ind w:left="340"/>
              <w:spacing w:after="0"/>
              <w:rPr>
                <w:sz w:val="20"/>
                <w:szCs w:val="20"/>
                <w:color w:val="auto"/>
              </w:rPr>
            </w:pPr>
            <w:r>
              <w:rPr>
                <w:rFonts w:ascii="Arial" w:cs="Arial" w:eastAsia="Arial" w:hAnsi="Arial"/>
                <w:sz w:val="16"/>
                <w:szCs w:val="16"/>
                <w:color w:val="auto"/>
              </w:rPr>
              <w:t>Diluted net income per share</w:t>
            </w: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160" w:type="dxa"/>
            <w:vAlign w:val="bottom"/>
            <w:gridSpan w:val="3"/>
          </w:tcPr>
          <w:p>
            <w:pPr>
              <w:jc w:val="center"/>
              <w:ind w:left="820"/>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3"/>
          </w:tcPr>
          <w:p>
            <w:pPr>
              <w:jc w:val="center"/>
              <w:ind w:left="820"/>
              <w:spacing w:after="0"/>
              <w:rPr>
                <w:sz w:val="20"/>
                <w:szCs w:val="20"/>
                <w:color w:val="auto"/>
              </w:rPr>
            </w:pPr>
            <w:r>
              <w:rPr>
                <w:rFonts w:ascii="Arial" w:cs="Arial" w:eastAsia="Arial" w:hAnsi="Arial"/>
                <w:sz w:val="14"/>
                <w:szCs w:val="14"/>
                <w:b w:val="1"/>
                <w:bCs w:val="1"/>
                <w:color w:val="auto"/>
                <w:w w:val="91"/>
              </w:rPr>
              <w:t>Nine Months Ended</w:t>
            </w:r>
          </w:p>
        </w:tc>
        <w:tc>
          <w:tcPr>
            <w:tcW w:w="900" w:type="dxa"/>
            <w:vAlign w:val="bottom"/>
          </w:tcPr>
          <w:p>
            <w:pPr>
              <w:spacing w:after="0"/>
              <w:rPr>
                <w:sz w:val="14"/>
                <w:szCs w:val="14"/>
                <w:color w:val="auto"/>
              </w:rPr>
            </w:pPr>
          </w:p>
        </w:tc>
      </w:tr>
      <w:tr>
        <w:trPr>
          <w:trHeight w:val="182"/>
        </w:trPr>
        <w:tc>
          <w:tcPr>
            <w:tcW w:w="4900" w:type="dxa"/>
            <w:vAlign w:val="bottom"/>
          </w:tcPr>
          <w:p>
            <w:pPr>
              <w:spacing w:after="0"/>
              <w:rPr>
                <w:sz w:val="15"/>
                <w:szCs w:val="15"/>
                <w:color w:val="auto"/>
              </w:rPr>
            </w:pPr>
          </w:p>
        </w:tc>
        <w:tc>
          <w:tcPr>
            <w:tcW w:w="2160" w:type="dxa"/>
            <w:vAlign w:val="bottom"/>
            <w:gridSpan w:val="3"/>
          </w:tcPr>
          <w:p>
            <w:pPr>
              <w:jc w:val="center"/>
              <w:ind w:left="820"/>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3"/>
          </w:tcPr>
          <w:p>
            <w:pPr>
              <w:jc w:val="center"/>
              <w:ind w:left="8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tcPr>
          <w:p>
            <w:pPr>
              <w:spacing w:after="0"/>
              <w:rPr>
                <w:sz w:val="15"/>
                <w:szCs w:val="15"/>
                <w:color w:val="auto"/>
              </w:rPr>
            </w:pPr>
          </w:p>
        </w:tc>
      </w:tr>
      <w:tr>
        <w:trPr>
          <w:trHeight w:val="23"/>
        </w:trPr>
        <w:tc>
          <w:tcPr>
            <w:tcW w:w="49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9"/>
        </w:trPr>
        <w:tc>
          <w:tcPr>
            <w:tcW w:w="4900" w:type="dxa"/>
            <w:vAlign w:val="bottom"/>
          </w:tcPr>
          <w:p>
            <w:pPr>
              <w:spacing w:after="0"/>
              <w:rPr>
                <w:sz w:val="15"/>
                <w:szCs w:val="15"/>
                <w:color w:val="auto"/>
              </w:rPr>
            </w:pPr>
          </w:p>
        </w:tc>
        <w:tc>
          <w:tcPr>
            <w:tcW w:w="1480" w:type="dxa"/>
            <w:vAlign w:val="bottom"/>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5"/>
                <w:szCs w:val="15"/>
                <w:color w:val="auto"/>
              </w:rPr>
            </w:pPr>
          </w:p>
        </w:tc>
        <w:tc>
          <w:tcPr>
            <w:tcW w:w="1480" w:type="dxa"/>
            <w:vAlign w:val="bottom"/>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6"/>
              <w:spacing w:after="0"/>
              <w:rPr>
                <w:sz w:val="20"/>
                <w:szCs w:val="20"/>
                <w:color w:val="auto"/>
              </w:rPr>
            </w:pPr>
            <w:r>
              <w:rPr>
                <w:rFonts w:ascii="Arial" w:cs="Arial" w:eastAsia="Arial" w:hAnsi="Arial"/>
                <w:sz w:val="14"/>
                <w:szCs w:val="14"/>
                <w:b w:val="1"/>
                <w:bCs w:val="1"/>
                <w:color w:val="auto"/>
                <w:w w:val="89"/>
              </w:rPr>
              <w:t>2022</w:t>
            </w:r>
          </w:p>
        </w:tc>
      </w:tr>
      <w:tr>
        <w:trPr>
          <w:trHeight w:val="23"/>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1"/>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11,988,899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7,184,651</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11,887,706</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7,159,982</w:t>
            </w:r>
          </w:p>
        </w:tc>
      </w:tr>
      <w:tr>
        <w:trPr>
          <w:trHeight w:val="242"/>
        </w:trPr>
        <w:tc>
          <w:tcPr>
            <w:tcW w:w="4900" w:type="dxa"/>
            <w:vAlign w:val="bottom"/>
          </w:tcPr>
          <w:p>
            <w:pPr>
              <w:ind w:left="20"/>
              <w:spacing w:after="0"/>
              <w:rPr>
                <w:sz w:val="20"/>
                <w:szCs w:val="20"/>
                <w:color w:val="auto"/>
              </w:rPr>
            </w:pPr>
            <w:r>
              <w:rPr>
                <w:rFonts w:ascii="Arial" w:cs="Arial" w:eastAsia="Arial" w:hAnsi="Arial"/>
                <w:sz w:val="17"/>
                <w:szCs w:val="17"/>
                <w:color w:val="auto"/>
              </w:rPr>
              <w:t>Shares issuable under employee stock purchase plan</w:t>
            </w:r>
          </w:p>
        </w:tc>
        <w:tc>
          <w:tcPr>
            <w:tcW w:w="2160" w:type="dxa"/>
            <w:vAlign w:val="bottom"/>
            <w:gridSpan w:val="3"/>
          </w:tcPr>
          <w:p>
            <w:pPr>
              <w:jc w:val="right"/>
              <w:ind w:right="7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1,589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986,798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1,627,946</w:t>
            </w:r>
          </w:p>
        </w:tc>
        <w:tc>
          <w:tcPr>
            <w:tcW w:w="24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1,045,151</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1,928,378</w:t>
            </w:r>
          </w:p>
        </w:tc>
      </w:tr>
      <w:tr>
        <w:trPr>
          <w:trHeight w:val="248"/>
        </w:trPr>
        <w:tc>
          <w:tcPr>
            <w:tcW w:w="4900" w:type="dxa"/>
            <w:vAlign w:val="bottom"/>
          </w:tcPr>
          <w:p>
            <w:pPr>
              <w:ind w:left="34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12,975,697</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8,812,597</w:t>
            </w:r>
          </w:p>
        </w:tc>
        <w:tc>
          <w:tcPr>
            <w:tcW w:w="24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12,934,446</w:t>
            </w:r>
          </w:p>
        </w:tc>
        <w:tc>
          <w:tcPr>
            <w:tcW w:w="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9,088,360</w:t>
            </w:r>
          </w:p>
        </w:tc>
      </w:tr>
      <w:tr>
        <w:trPr>
          <w:trHeight w:val="20"/>
        </w:trPr>
        <w:tc>
          <w:tcPr>
            <w:tcW w:w="4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2022, filed with the Securities and Exchange Commission, or the SEC, on March 1, 2023.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9"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53" w:lineRule="exact"/>
        <w:rPr>
          <w:sz w:val="20"/>
          <w:szCs w:val="20"/>
          <w:color w:val="auto"/>
        </w:rPr>
      </w:pPr>
    </w:p>
    <w:p>
      <w:pPr>
        <w:ind w:right="100" w:firstLine="627"/>
        <w:spacing w:after="0" w:line="278" w:lineRule="auto"/>
        <w:rPr>
          <w:sz w:val="20"/>
          <w:szCs w:val="20"/>
          <w:color w:val="auto"/>
        </w:rPr>
      </w:pPr>
      <w:r>
        <w:rPr>
          <w:rFonts w:ascii="Arial" w:cs="Arial" w:eastAsia="Arial" w:hAnsi="Arial"/>
          <w:sz w:val="16"/>
          <w:szCs w:val="16"/>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390 with at least 1,000 covered lives. We currently provide coverage to approximately 5.5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industry-leading Net Promoter Score, or NPS, of +82 for our fertility benefits solution and +79 for our integrated pharmacy benefits solution, Progyny Rx as of December 31, 2022. Our members experience healthier pregnancies and superior rates of pregnancy and live births, as well as reduced rates of miscarriages and multiple births, saving valuable time and money and limiting personal and professional disruption.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line="161" w:lineRule="exact"/>
              <w:rPr>
                <w:sz w:val="20"/>
                <w:szCs w:val="20"/>
                <w:color w:val="auto"/>
              </w:rPr>
            </w:pPr>
            <w:r>
              <w:rPr>
                <w:rFonts w:ascii="Arial" w:cs="Arial" w:eastAsia="Arial" w:hAnsi="Arial"/>
                <w:sz w:val="14"/>
                <w:szCs w:val="14"/>
                <w:b w:val="1"/>
                <w:bCs w:val="1"/>
                <w:color w:val="auto"/>
                <w:w w:val="93"/>
              </w:rPr>
              <w:t>Progyny In</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Network</w:t>
            </w:r>
          </w:p>
        </w:tc>
      </w:tr>
      <w:tr>
        <w:trPr>
          <w:trHeight w:val="157"/>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2"/>
              </w:rPr>
              <w:t>Progyny In</w:t>
            </w:r>
            <w:r>
              <w:rPr>
                <w:rFonts w:ascii="MS PGothic" w:cs="MS PGothic" w:eastAsia="MS PGothic" w:hAnsi="MS PGothic"/>
                <w:sz w:val="14"/>
                <w:szCs w:val="14"/>
                <w:b w:val="1"/>
                <w:bCs w:val="1"/>
                <w:color w:val="auto"/>
                <w:w w:val="92"/>
              </w:rPr>
              <w:t>‑</w:t>
            </w:r>
            <w:r>
              <w:rPr>
                <w:rFonts w:ascii="Arial" w:cs="Arial" w:eastAsia="Arial" w:hAnsi="Arial"/>
                <w:sz w:val="14"/>
                <w:szCs w:val="14"/>
                <w:b w:val="1"/>
                <w:bCs w:val="1"/>
                <w:color w:val="auto"/>
                <w:w w:val="92"/>
              </w:rPr>
              <w:t>Network</w:t>
            </w:r>
          </w:p>
        </w:tc>
        <w:tc>
          <w:tcPr>
            <w:tcW w:w="1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Provider Clinic</w:t>
            </w:r>
          </w:p>
        </w:tc>
      </w:tr>
      <w:tr>
        <w:trPr>
          <w:trHeight w:val="157"/>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88"/>
              </w:rPr>
              <w:t>National Averages</w:t>
            </w:r>
          </w:p>
        </w:tc>
        <w:tc>
          <w:tcPr>
            <w:tcW w:w="190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1"/>
              </w:rPr>
              <w:t>Provider Clinic</w:t>
            </w:r>
          </w:p>
        </w:tc>
        <w:tc>
          <w:tcPr>
            <w:tcW w:w="1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5"/>
              </w:rPr>
              <w:t>Averages</w:t>
            </w:r>
          </w:p>
        </w:tc>
      </w:tr>
      <w:tr>
        <w:trPr>
          <w:trHeight w:val="157"/>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4"/>
              </w:rPr>
              <w:t>for All Provider</w:t>
            </w:r>
          </w:p>
        </w:tc>
        <w:tc>
          <w:tcPr>
            <w:tcW w:w="190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85"/>
              </w:rPr>
              <w:t>Averages</w:t>
            </w:r>
          </w:p>
        </w:tc>
        <w:tc>
          <w:tcPr>
            <w:tcW w:w="1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for Progyny</w:t>
            </w:r>
          </w:p>
        </w:tc>
      </w:tr>
      <w:tr>
        <w:trPr>
          <w:trHeight w:val="21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Outcome</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Clinics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 All Patients</w:t>
            </w: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Members Only</w:t>
            </w:r>
            <w:r>
              <w:rPr>
                <w:rFonts w:ascii="Arial" w:cs="Arial" w:eastAsia="Arial" w:hAnsi="Arial"/>
                <w:sz w:val="18"/>
                <w:szCs w:val="18"/>
                <w:b w:val="1"/>
                <w:bCs w:val="1"/>
                <w:color w:val="auto"/>
                <w:w w:val="89"/>
                <w:vertAlign w:val="superscript"/>
              </w:rPr>
              <w:t>(3)</w:t>
            </w:r>
          </w:p>
        </w:tc>
      </w:tr>
      <w:tr>
        <w:trPr>
          <w:trHeight w:val="241"/>
        </w:trPr>
        <w:tc>
          <w:tcPr>
            <w:tcW w:w="5620" w:type="dxa"/>
            <w:vAlign w:val="bottom"/>
            <w:gridSpan w:val="2"/>
            <w:shd w:val="clear" w:color="auto" w:fill="CCEEFF"/>
          </w:tcPr>
          <w:p>
            <w:pPr>
              <w:ind w:left="20"/>
              <w:spacing w:after="0" w:line="241" w:lineRule="exact"/>
              <w:rPr>
                <w:sz w:val="20"/>
                <w:szCs w:val="20"/>
                <w:color w:val="auto"/>
              </w:rPr>
            </w:pPr>
            <w:r>
              <w:rPr>
                <w:rFonts w:ascii="Arial" w:cs="Arial" w:eastAsia="Arial" w:hAnsi="Arial"/>
                <w:sz w:val="17"/>
                <w:szCs w:val="17"/>
                <w:color w:val="auto"/>
              </w:rPr>
              <w:t>Live birth rate per attempted retrieval</w:t>
            </w:r>
            <w:r>
              <w:rPr>
                <w:rFonts w:ascii="Arial" w:cs="Arial" w:eastAsia="Arial" w:hAnsi="Arial"/>
                <w:sz w:val="22"/>
                <w:szCs w:val="22"/>
                <w:color w:val="auto"/>
                <w:vertAlign w:val="superscript"/>
              </w:rPr>
              <w:t>(2)</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r>
      <w:tr>
        <w:trPr>
          <w:trHeight w:val="248"/>
        </w:trPr>
        <w:tc>
          <w:tcPr>
            <w:tcW w:w="5620" w:type="dxa"/>
            <w:vAlign w:val="bottom"/>
            <w:gridSpan w:val="2"/>
          </w:tcPr>
          <w:p>
            <w:pPr>
              <w:ind w:left="20"/>
              <w:spacing w:after="0" w:line="248" w:lineRule="exact"/>
              <w:rPr>
                <w:sz w:val="20"/>
                <w:szCs w:val="20"/>
                <w:color w:val="auto"/>
              </w:rPr>
            </w:pPr>
            <w:r>
              <w:rPr>
                <w:rFonts w:ascii="Arial" w:cs="Arial" w:eastAsia="Arial" w:hAnsi="Arial"/>
                <w:sz w:val="17"/>
                <w:szCs w:val="17"/>
                <w:color w:val="auto"/>
              </w:rPr>
              <w:t>Single embryo transfer rate</w:t>
            </w:r>
            <w:r>
              <w:rPr>
                <w:rFonts w:ascii="Arial" w:cs="Arial" w:eastAsia="Arial" w:hAnsi="Arial"/>
                <w:sz w:val="22"/>
                <w:szCs w:val="22"/>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7"/>
                <w:szCs w:val="17"/>
                <w:color w:val="auto"/>
              </w:rPr>
              <w:t>75.5%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77.8%</w:t>
            </w:r>
          </w:p>
        </w:tc>
        <w:tc>
          <w:tcPr>
            <w:tcW w:w="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93.9%</w:t>
            </w:r>
          </w:p>
        </w:tc>
      </w:tr>
      <w:tr>
        <w:trPr>
          <w:trHeight w:val="248"/>
        </w:trPr>
        <w:tc>
          <w:tcPr>
            <w:tcW w:w="5620" w:type="dxa"/>
            <w:vAlign w:val="bottom"/>
            <w:gridSpan w:val="2"/>
            <w:shd w:val="clear" w:color="auto" w:fill="CCEEFF"/>
          </w:tcPr>
          <w:p>
            <w:pPr>
              <w:ind w:left="20"/>
              <w:spacing w:after="0" w:line="248"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2"/>
                <w:szCs w:val="22"/>
                <w:color w:val="auto"/>
                <w:vertAlign w:val="superscript"/>
              </w:rPr>
              <w:t>(1)</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r>
      <w:tr>
        <w:trPr>
          <w:trHeight w:val="248"/>
        </w:trPr>
        <w:tc>
          <w:tcPr>
            <w:tcW w:w="5620" w:type="dxa"/>
            <w:vAlign w:val="bottom"/>
            <w:gridSpan w:val="2"/>
          </w:tcPr>
          <w:p>
            <w:pPr>
              <w:ind w:left="20"/>
              <w:spacing w:after="0" w:line="248" w:lineRule="exact"/>
              <w:rPr>
                <w:sz w:val="20"/>
                <w:szCs w:val="20"/>
                <w:color w:val="auto"/>
              </w:rPr>
            </w:pPr>
            <w:r>
              <w:rPr>
                <w:rFonts w:ascii="Arial" w:cs="Arial" w:eastAsia="Arial" w:hAnsi="Arial"/>
                <w:sz w:val="17"/>
                <w:szCs w:val="17"/>
                <w:color w:val="auto"/>
              </w:rPr>
              <w:t>Miscarriage rate</w:t>
            </w:r>
            <w:r>
              <w:rPr>
                <w:rFonts w:ascii="Arial" w:cs="Arial" w:eastAsia="Arial" w:hAnsi="Arial"/>
                <w:sz w:val="22"/>
                <w:szCs w:val="22"/>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48"/>
        </w:trPr>
        <w:tc>
          <w:tcPr>
            <w:tcW w:w="5620" w:type="dxa"/>
            <w:vAlign w:val="bottom"/>
            <w:gridSpan w:val="2"/>
            <w:shd w:val="clear" w:color="auto" w:fill="CCEEFF"/>
          </w:tcPr>
          <w:p>
            <w:pPr>
              <w:ind w:left="20"/>
              <w:spacing w:after="0" w:line="248" w:lineRule="exact"/>
              <w:rPr>
                <w:sz w:val="20"/>
                <w:szCs w:val="20"/>
                <w:color w:val="auto"/>
              </w:rPr>
            </w:pPr>
            <w:r>
              <w:rPr>
                <w:rFonts w:ascii="Arial" w:cs="Arial" w:eastAsia="Arial" w:hAnsi="Arial"/>
                <w:sz w:val="17"/>
                <w:szCs w:val="17"/>
                <w:color w:val="auto"/>
              </w:rPr>
              <w:t>Live birth rate per transfer</w:t>
            </w:r>
            <w:r>
              <w:rPr>
                <w:rFonts w:ascii="Arial" w:cs="Arial" w:eastAsia="Arial" w:hAnsi="Arial"/>
                <w:sz w:val="22"/>
                <w:szCs w:val="22"/>
                <w:color w:val="auto"/>
                <w:vertAlign w:val="superscript"/>
              </w:rPr>
              <w:t>(2)</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r>
      <w:tr>
        <w:trPr>
          <w:trHeight w:val="303"/>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IVF multiples rate</w:t>
            </w:r>
            <w:r>
              <w:rPr>
                <w:rFonts w:ascii="Arial" w:cs="Arial" w:eastAsia="Arial" w:hAnsi="Arial"/>
                <w:sz w:val="22"/>
                <w:szCs w:val="22"/>
                <w:color w:val="auto"/>
                <w:vertAlign w:val="superscript"/>
              </w:rPr>
              <w:t>(2)</w:t>
            </w:r>
          </w:p>
        </w:tc>
        <w:tc>
          <w:tcPr>
            <w:tcW w:w="180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1.9%</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66" w:lineRule="exact"/>
        <w:rPr>
          <w:sz w:val="20"/>
          <w:szCs w:val="20"/>
          <w:color w:val="auto"/>
        </w:rPr>
      </w:pPr>
    </w:p>
    <w:p>
      <w:pPr>
        <w:ind w:left="320" w:hanging="315"/>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Calculated based on the Society for Assisted Reproductive Technology, or SART, 2020 National Summary Report, finalized in 2023.</w:t>
      </w:r>
    </w:p>
    <w:p>
      <w:pPr>
        <w:spacing w:after="0" w:line="222" w:lineRule="exact"/>
        <w:rPr>
          <w:rFonts w:ascii="Arial" w:cs="Arial" w:eastAsia="Arial" w:hAnsi="Arial"/>
          <w:sz w:val="17"/>
          <w:szCs w:val="17"/>
          <w:color w:val="auto"/>
        </w:rPr>
      </w:pPr>
    </w:p>
    <w:p>
      <w:pPr>
        <w:ind w:left="320" w:hanging="315"/>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Calculated based on CDC, 2021 National Summary and Clinic Data Sets, published in 2023.</w:t>
      </w:r>
    </w:p>
    <w:p>
      <w:pPr>
        <w:spacing w:after="0" w:line="222" w:lineRule="exact"/>
        <w:rPr>
          <w:rFonts w:ascii="Arial" w:cs="Arial" w:eastAsia="Arial" w:hAnsi="Arial"/>
          <w:sz w:val="17"/>
          <w:szCs w:val="17"/>
          <w:color w:val="auto"/>
        </w:rPr>
      </w:pPr>
    </w:p>
    <w:p>
      <w:pPr>
        <w:ind w:left="320" w:hanging="315"/>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Calculated based on the 12-month period ended December 31, 2022.</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b w:val="1"/>
          <w:bCs w:val="1"/>
          <w:i w:val="1"/>
          <w:iCs w:val="1"/>
          <w:color w:val="auto"/>
        </w:rPr>
        <w:t>Fertility Benefits Solution</w:t>
      </w:r>
      <w:r>
        <w:rPr>
          <w:rFonts w:ascii="Arial" w:cs="Arial" w:eastAsia="Arial" w:hAnsi="Arial"/>
          <w:sz w:val="17"/>
          <w:szCs w:val="17"/>
          <w:color w:val="auto"/>
        </w:rPr>
        <w:t>. Our fertility benefits solution includes providing members with access to effective and cost-efficient fertility treatments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62"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b w:val="1"/>
          <w:bCs w:val="1"/>
          <w:i w:val="1"/>
          <w:iCs w:val="1"/>
          <w:color w:val="auto"/>
        </w:rPr>
        <w:t xml:space="preserve">Pharmacy Benefits Solution. </w:t>
      </w:r>
      <w:r>
        <w:rPr>
          <w:rFonts w:ascii="Arial" w:cs="Arial" w:eastAsia="Arial" w:hAnsi="Arial"/>
          <w:sz w:val="17"/>
          <w:szCs w:val="17"/>
          <w:color w:val="auto"/>
        </w:rPr>
        <w:t>We went live with our integrated pharmacy benefits solution in 2018. Progyny Rx can only be purchased by clients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b w:val="1"/>
          <w:bCs w:val="1"/>
          <w:i w:val="1"/>
          <w:iCs w:val="1"/>
          <w:color w:val="auto"/>
        </w:rPr>
        <w:t xml:space="preserve">Our Clients. </w:t>
      </w:r>
      <w:r>
        <w:rPr>
          <w:rFonts w:ascii="Arial" w:cs="Arial" w:eastAsia="Arial" w:hAnsi="Arial"/>
          <w:sz w:val="17"/>
          <w:szCs w:val="17"/>
          <w:color w:val="auto"/>
        </w:rPr>
        <w:t>We currently serve over 390 employers with at least 1,000 covered lives in the United States across more than 40 industries. Our current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clients, who are industry leaders across both high-growth and mature industries and who range in size from approximately 1,000 to 600,000 employees, represent approximately 5.5 million covered lives.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Model</w:t>
      </w:r>
    </w:p>
    <w:p>
      <w:pPr>
        <w:spacing w:after="0" w:line="229"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40" w:hanging="322"/>
        <w:spacing w:after="0" w:line="263"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Utilization Component. </w:t>
      </w:r>
      <w:r>
        <w:rPr>
          <w:rFonts w:ascii="Arial" w:cs="Arial" w:eastAsia="Arial" w:hAnsi="Arial"/>
          <w:sz w:val="17"/>
          <w:szCs w:val="17"/>
          <w:color w:val="auto"/>
        </w:rPr>
        <w:t>Clients pay us for the fertility benefits and Progyny Rx solutions utilized by their employees. With respect to the fertility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78" w:lineRule="exact"/>
        <w:rPr>
          <w:rFonts w:ascii="Arial" w:cs="Arial" w:eastAsia="Arial" w:hAnsi="Arial"/>
          <w:sz w:val="17"/>
          <w:szCs w:val="17"/>
          <w:color w:val="auto"/>
        </w:rPr>
      </w:pPr>
    </w:p>
    <w:p>
      <w:pPr>
        <w:jc w:val="both"/>
        <w:ind w:left="640" w:hanging="322"/>
        <w:spacing w:after="0" w:line="267"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Population-Based Component. </w:t>
      </w:r>
      <w:r>
        <w:rPr>
          <w:rFonts w:ascii="Arial" w:cs="Arial" w:eastAsia="Arial" w:hAnsi="Arial"/>
          <w:sz w:val="17"/>
          <w:szCs w:val="17"/>
          <w:color w:val="auto"/>
        </w:rPr>
        <w:t>Clients who purchase our fertility benefits solution also typically pay us a per employee per month fee, or PEPM fee,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nine months ended September 30, 2023 and 2022, respectively.</w:t>
      </w:r>
    </w:p>
    <w:p>
      <w:pPr>
        <w:spacing w:after="0" w:line="17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6"/>
          <w:szCs w:val="16"/>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76" w:lineRule="exact"/>
        <w:rPr>
          <w:sz w:val="20"/>
          <w:szCs w:val="20"/>
          <w:color w:val="auto"/>
        </w:rPr>
      </w:pPr>
    </w:p>
    <w:p>
      <w:pPr>
        <w:ind w:right="140" w:firstLine="627"/>
        <w:spacing w:after="0" w:line="274" w:lineRule="auto"/>
        <w:rPr>
          <w:sz w:val="20"/>
          <w:szCs w:val="20"/>
          <w:color w:val="auto"/>
        </w:rPr>
      </w:pPr>
      <w:r>
        <w:rPr>
          <w:rFonts w:ascii="Arial" w:cs="Arial" w:eastAsia="Arial" w:hAnsi="Arial"/>
          <w:sz w:val="17"/>
          <w:szCs w:val="17"/>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plan year start.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Operational and Business Metrics</w:t>
      </w:r>
    </w:p>
    <w:p>
      <w:pPr>
        <w:spacing w:after="0" w:line="229"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b w:val="1"/>
          <w:bCs w:val="1"/>
          <w:i w:val="1"/>
          <w:iCs w:val="1"/>
          <w:color w:val="auto"/>
        </w:rPr>
        <w:t xml:space="preserve">Member and Client Base. </w:t>
      </w:r>
      <w:r>
        <w:rPr>
          <w:rFonts w:ascii="Arial" w:cs="Arial" w:eastAsia="Arial" w:hAnsi="Arial"/>
          <w:sz w:val="16"/>
          <w:szCs w:val="16"/>
          <w:color w:val="auto"/>
        </w:rPr>
        <w:t>Our addressable market is primarily large self-insured employers as well as labor populations under the Labor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 Act of 1947 (also known as the Taft-Hartley Act). There are approximately 8,000 employers in the United States who have a minimum of 1,000 employees, who together with Taft-Hartley labor populations, represent approximately 100 million potential covered lives in total. Our current member base of approximately 5.5 million covered lives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September 30, 2023 and December 31, 2022, we served 392 and 288 clients, respectively, representing 5,462,000 and 4,585,000 members, respectively.</w:t>
      </w:r>
    </w:p>
    <w:p>
      <w:pPr>
        <w:spacing w:after="0" w:line="171"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9" w:lineRule="exact"/>
        <w:rPr>
          <w:sz w:val="20"/>
          <w:szCs w:val="20"/>
          <w:color w:val="auto"/>
        </w:rPr>
      </w:pPr>
    </w:p>
    <w:p>
      <w:pPr>
        <w:ind w:right="280" w:firstLine="627"/>
        <w:spacing w:after="0" w:line="272" w:lineRule="auto"/>
        <w:rPr>
          <w:sz w:val="20"/>
          <w:szCs w:val="20"/>
          <w:color w:val="auto"/>
        </w:rPr>
      </w:pPr>
      <w:r>
        <w:rPr>
          <w:rFonts w:ascii="Arial" w:cs="Arial" w:eastAsia="Arial" w:hAnsi="Arial"/>
          <w:sz w:val="17"/>
          <w:szCs w:val="17"/>
          <w:b w:val="1"/>
          <w:bCs w:val="1"/>
          <w:i w:val="1"/>
          <w:iCs w:val="1"/>
          <w:color w:val="auto"/>
        </w:rPr>
        <w:t>Benefits Utilization</w:t>
      </w:r>
      <w:r>
        <w:rPr>
          <w:rFonts w:ascii="Arial" w:cs="Arial" w:eastAsia="Arial" w:hAnsi="Arial"/>
          <w:sz w:val="17"/>
          <w:szCs w:val="17"/>
          <w:color w:val="auto"/>
        </w:rPr>
        <w:t>. A key driver of our revenue is the number of members we serve and the rate at which they utilize their fertility benefits.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 base has grown, our membership has grown from approximately 110,000 members in 2016 when we launched our fertility benefits solution to approximately 5.5 million members as of September 30, 2023.</w:t>
      </w:r>
    </w:p>
    <w:p>
      <w:pPr>
        <w:spacing w:after="0" w:line="172"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The following table highlights the number of assisted reproductive treatment, or ART, cycles performed for Progyny members and the member utilization rates for each of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330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4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6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9"/>
        </w:trPr>
        <w:tc>
          <w:tcPr>
            <w:tcW w:w="4620" w:type="dxa"/>
            <w:vAlign w:val="bottom"/>
          </w:tcPr>
          <w:p>
            <w:pPr>
              <w:spacing w:after="0"/>
              <w:rPr>
                <w:sz w:val="15"/>
                <w:szCs w:val="15"/>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4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3"/>
        </w:trPr>
        <w:tc>
          <w:tcPr>
            <w:tcW w:w="46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1"/>
        </w:trPr>
        <w:tc>
          <w:tcPr>
            <w:tcW w:w="4620" w:type="dxa"/>
            <w:vAlign w:val="bottom"/>
            <w:shd w:val="clear" w:color="auto" w:fill="CCEEFF"/>
          </w:tcPr>
          <w:p>
            <w:pPr>
              <w:ind w:left="20"/>
              <w:spacing w:after="0" w:line="241" w:lineRule="exact"/>
              <w:rPr>
                <w:sz w:val="20"/>
                <w:szCs w:val="20"/>
                <w:color w:val="auto"/>
              </w:rPr>
            </w:pPr>
            <w:r>
              <w:rPr>
                <w:rFonts w:ascii="Arial" w:cs="Arial" w:eastAsia="Arial" w:hAnsi="Arial"/>
                <w:sz w:val="17"/>
                <w:szCs w:val="17"/>
                <w:color w:val="auto"/>
              </w:rPr>
              <w:t>Assisted Reproductive Treatment (ART) Cycles</w:t>
            </w:r>
            <w:r>
              <w:rPr>
                <w:rFonts w:ascii="Arial" w:cs="Arial" w:eastAsia="Arial" w:hAnsi="Arial"/>
                <w:sz w:val="22"/>
                <w:szCs w:val="22"/>
                <w:color w:val="auto"/>
                <w:vertAlign w:val="superscript"/>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15,005</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11,086</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42,947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30,402</w:t>
            </w:r>
          </w:p>
        </w:tc>
      </w:tr>
      <w:tr>
        <w:trPr>
          <w:trHeight w:val="248"/>
        </w:trPr>
        <w:tc>
          <w:tcPr>
            <w:tcW w:w="4620" w:type="dxa"/>
            <w:vAlign w:val="bottom"/>
          </w:tcPr>
          <w:p>
            <w:pPr>
              <w:ind w:left="20"/>
              <w:spacing w:after="0" w:line="248"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2"/>
                <w:szCs w:val="22"/>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7"/>
                <w:szCs w:val="17"/>
                <w:color w:val="auto"/>
              </w:rPr>
              <w:t>0.56%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0.49%</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48"/>
        </w:trPr>
        <w:tc>
          <w:tcPr>
            <w:tcW w:w="462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2"/>
                <w:szCs w:val="22"/>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r>
      <w:tr>
        <w:trPr>
          <w:trHeight w:val="235"/>
        </w:trPr>
        <w:tc>
          <w:tcPr>
            <w:tcW w:w="4620" w:type="dxa"/>
            <w:vAlign w:val="bottom"/>
          </w:tcPr>
          <w:p>
            <w:pPr>
              <w:ind w:left="20"/>
              <w:spacing w:after="0"/>
              <w:rPr>
                <w:sz w:val="20"/>
                <w:szCs w:val="20"/>
                <w:color w:val="auto"/>
              </w:rPr>
            </w:pPr>
            <w:r>
              <w:rPr>
                <w:rFonts w:ascii="Arial" w:cs="Arial" w:eastAsia="Arial" w:hAnsi="Arial"/>
                <w:sz w:val="17"/>
                <w:szCs w:val="17"/>
                <w:color w:val="auto"/>
              </w:rPr>
              <w:t>Average Members</w:t>
            </w:r>
          </w:p>
        </w:tc>
        <w:tc>
          <w:tcPr>
            <w:tcW w:w="1480" w:type="dxa"/>
            <w:vAlign w:val="bottom"/>
          </w:tcPr>
          <w:p>
            <w:pPr>
              <w:jc w:val="right"/>
              <w:spacing w:after="0"/>
              <w:rPr>
                <w:sz w:val="20"/>
                <w:szCs w:val="20"/>
                <w:color w:val="auto"/>
              </w:rPr>
            </w:pPr>
            <w:r>
              <w:rPr>
                <w:rFonts w:ascii="Arial" w:cs="Arial" w:eastAsia="Arial" w:hAnsi="Arial"/>
                <w:sz w:val="17"/>
                <w:szCs w:val="17"/>
                <w:color w:val="auto"/>
              </w:rPr>
              <w:t>5,428,000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4,482,000</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5,366,000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4,301,000</w:t>
            </w:r>
          </w:p>
        </w:tc>
      </w:tr>
      <w:tr>
        <w:trPr>
          <w:trHeight w:val="301"/>
        </w:trPr>
        <w:tc>
          <w:tcPr>
            <w:tcW w:w="4620" w:type="dxa"/>
            <w:vAlign w:val="bottom"/>
          </w:tcPr>
          <w:p>
            <w:pPr>
              <w:spacing w:after="0"/>
              <w:rPr>
                <w:sz w:val="20"/>
                <w:szCs w:val="20"/>
                <w:color w:val="auto"/>
              </w:rPr>
            </w:pPr>
            <w:r>
              <w:rPr>
                <w:rFonts w:ascii="Arial" w:cs="Arial" w:eastAsia="Arial" w:hAnsi="Arial"/>
                <w:sz w:val="17"/>
                <w:szCs w:val="17"/>
                <w:color w:val="auto"/>
              </w:rPr>
              <w:t>________________________________</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40" w:lineRule="exact"/>
        <w:rPr>
          <w:sz w:val="20"/>
          <w:szCs w:val="20"/>
          <w:color w:val="auto"/>
        </w:rPr>
      </w:pPr>
    </w:p>
    <w:p>
      <w:pPr>
        <w:ind w:left="320" w:right="600" w:hanging="315"/>
        <w:spacing w:after="0" w:line="288" w:lineRule="auto"/>
        <w:tabs>
          <w:tab w:leader="none" w:pos="3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number of ART cycles performed, including IVF with a fresh embryo transfer, IVF freeze all cycles/embryo banking, frozen embryo transfers and egg freezing.</w:t>
      </w:r>
    </w:p>
    <w:p>
      <w:pPr>
        <w:spacing w:after="0" w:line="158" w:lineRule="exact"/>
        <w:rPr>
          <w:rFonts w:ascii="Arial" w:cs="Arial" w:eastAsia="Arial" w:hAnsi="Arial"/>
          <w:sz w:val="17"/>
          <w:szCs w:val="17"/>
          <w:color w:val="auto"/>
        </w:rPr>
      </w:pPr>
    </w:p>
    <w:p>
      <w:pPr>
        <w:ind w:left="320" w:right="20" w:hanging="315"/>
        <w:spacing w:after="0" w:line="264" w:lineRule="auto"/>
        <w:tabs>
          <w:tab w:leader="none" w:pos="3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on our Business</w:t>
      </w:r>
    </w:p>
    <w:p>
      <w:pPr>
        <w:spacing w:after="0" w:line="22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The COVID-19 pandemic significantly impacted various markets around the world, including the United States. Restrictions related to COVID-19, including variants, and our responses to them significantly impacted and may continue to impact how our members use our services, access our providers, and how our employees work and provide services to our clients and members, resulting in an impact on our revenue. COVID-19, including variants, and related restrictions had a negative impact on our revenue growth in the past, including for the nine months ended September 30, 2022.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185"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For additional information on the various risks posed by the COVID-19 pandemic, please refer to Part II, Item 1A. "Risk Factors" included in this Quarterly Report on Form 10-Q.</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Revenue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Fertility Benefits Solution Revenue</w:t>
      </w:r>
    </w:p>
    <w:p>
      <w:pPr>
        <w:spacing w:after="0" w:line="22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Pharmacy Benefits Solution Revenue</w:t>
      </w:r>
    </w:p>
    <w:p>
      <w:pPr>
        <w:spacing w:after="0" w:line="223"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Per Employee Per Month (PEPM) Fee</w:t>
      </w:r>
    </w:p>
    <w:p>
      <w:pPr>
        <w:spacing w:after="0" w:line="223"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Cost of Services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Fertility Benefits Services</w:t>
      </w:r>
    </w:p>
    <w:p>
      <w:pPr>
        <w:spacing w:after="0" w:line="22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Pharmacy Benefits Services</w:t>
      </w:r>
    </w:p>
    <w:p>
      <w:pPr>
        <w:spacing w:after="0" w:line="223"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5"/>
          <w:szCs w:val="15"/>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Vendor Rebates</w:t>
      </w:r>
    </w:p>
    <w:p>
      <w:pPr>
        <w:spacing w:after="0" w:line="22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223"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operating expenses consist of sales and marketing and general and administrative expenses.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Sales and Marketing Expense</w:t>
      </w:r>
    </w:p>
    <w:p>
      <w:pPr>
        <w:spacing w:after="0" w:line="22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General and Administrative Expense</w:t>
      </w:r>
    </w:p>
    <w:p>
      <w:pPr>
        <w:spacing w:after="0" w:line="223"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and facilities costs. We anticipate that we will incur additional general and administrative expenses on an ongoing basis as a public company and to support the growth of our business.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income, net primarily includes interest income and expense as well as investment income and losses.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223"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were realizable.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set forth our results of operations for the periods presented and as a percentage of revenue for those periods: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1"/>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7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7"/>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900" w:type="dxa"/>
            <w:vAlign w:val="bottom"/>
            <w:gridSpan w:val="4"/>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280,891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205,371</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818,658</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572,592</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4"/>
          </w:tcPr>
          <w:p>
            <w:pPr>
              <w:ind w:left="20"/>
              <w:spacing w:after="0" w:line="248" w:lineRule="exact"/>
              <w:rPr>
                <w:sz w:val="20"/>
                <w:szCs w:val="20"/>
                <w:color w:val="auto"/>
              </w:rPr>
            </w:pPr>
            <w:r>
              <w:rPr>
                <w:rFonts w:ascii="Arial" w:cs="Arial" w:eastAsia="Arial" w:hAnsi="Arial"/>
                <w:sz w:val="17"/>
                <w:szCs w:val="17"/>
                <w:color w:val="auto"/>
              </w:rPr>
              <w:t>Cost of services</w:t>
            </w:r>
            <w:r>
              <w:rPr>
                <w:rFonts w:ascii="Arial" w:cs="Arial" w:eastAsia="Arial" w:hAnsi="Arial"/>
                <w:sz w:val="22"/>
                <w:szCs w:val="22"/>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218,267</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159,376</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636,753</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449,761</w:t>
            </w:r>
          </w:p>
        </w:tc>
        <w:tc>
          <w:tcPr>
            <w:tcW w:w="0" w:type="dxa"/>
            <w:vAlign w:val="bottom"/>
          </w:tcPr>
          <w:p>
            <w:pPr>
              <w:spacing w:after="0"/>
              <w:rPr>
                <w:sz w:val="1"/>
                <w:szCs w:val="1"/>
                <w:color w:val="auto"/>
              </w:rPr>
            </w:pPr>
          </w:p>
        </w:tc>
      </w:tr>
      <w:tr>
        <w:trPr>
          <w:trHeight w:val="241"/>
        </w:trPr>
        <w:tc>
          <w:tcPr>
            <w:tcW w:w="4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45,995</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181,905</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122,831</w:t>
            </w:r>
          </w:p>
        </w:tc>
        <w:tc>
          <w:tcPr>
            <w:tcW w:w="0" w:type="dxa"/>
            <w:vAlign w:val="bottom"/>
          </w:tcPr>
          <w:p>
            <w:pPr>
              <w:spacing w:after="0"/>
              <w:rPr>
                <w:sz w:val="1"/>
                <w:szCs w:val="1"/>
                <w:color w:val="auto"/>
              </w:rPr>
            </w:pPr>
          </w:p>
        </w:tc>
      </w:tr>
      <w:tr>
        <w:trPr>
          <w:trHeight w:val="242"/>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1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89"/>
                <w:shd w:val="clear" w:color="auto" w:fill="CCEEFF"/>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shd w:val="clear" w:color="auto" w:fill="CCEEFF"/>
              </w:rPr>
              <w:t>(1)</w:t>
            </w:r>
          </w:p>
        </w:tc>
        <w:tc>
          <w:tcPr>
            <w:tcW w:w="3180" w:type="dxa"/>
            <w:vAlign w:val="bottom"/>
            <w:vMerge w:val="restart"/>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14,911</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11,166</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44,577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32,677</w:t>
            </w:r>
          </w:p>
        </w:tc>
        <w:tc>
          <w:tcPr>
            <w:tcW w:w="0" w:type="dxa"/>
            <w:vAlign w:val="bottom"/>
          </w:tcPr>
          <w:p>
            <w:pPr>
              <w:spacing w:after="0"/>
              <w:rPr>
                <w:sz w:val="1"/>
                <w:szCs w:val="1"/>
                <w:color w:val="auto"/>
              </w:rPr>
            </w:pPr>
          </w:p>
        </w:tc>
      </w:tr>
      <w:tr>
        <w:trPr>
          <w:trHeight w:val="77"/>
        </w:trPr>
        <w:tc>
          <w:tcPr>
            <w:tcW w:w="18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318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80" w:type="dxa"/>
            <w:vAlign w:val="bottom"/>
            <w:tcBorders>
              <w:bottom w:val="single" w:sz="8" w:color="CCEEFF"/>
            </w:tcBorders>
          </w:tcPr>
          <w:p>
            <w:pPr>
              <w:spacing w:after="0"/>
              <w:rPr>
                <w:sz w:val="21"/>
                <w:szCs w:val="21"/>
                <w:color w:val="auto"/>
              </w:rPr>
            </w:pPr>
          </w:p>
        </w:tc>
        <w:tc>
          <w:tcPr>
            <w:tcW w:w="4720" w:type="dxa"/>
            <w:vAlign w:val="bottom"/>
            <w:tcBorders>
              <w:bottom w:val="single" w:sz="8" w:color="CCEEFF"/>
            </w:tcBorders>
            <w:gridSpan w:val="3"/>
          </w:tcPr>
          <w:p>
            <w:pPr>
              <w:spacing w:after="0" w:line="248"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29,524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23,574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88,944</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70,119</w:t>
            </w:r>
          </w:p>
        </w:tc>
        <w:tc>
          <w:tcPr>
            <w:tcW w:w="0" w:type="dxa"/>
            <w:vAlign w:val="bottom"/>
          </w:tcPr>
          <w:p>
            <w:pPr>
              <w:spacing w:after="0"/>
              <w:rPr>
                <w:sz w:val="1"/>
                <w:szCs w:val="1"/>
                <w:color w:val="auto"/>
              </w:rPr>
            </w:pPr>
          </w:p>
        </w:tc>
      </w:tr>
      <w:tr>
        <w:trPr>
          <w:trHeight w:val="235"/>
        </w:trPr>
        <w:tc>
          <w:tcPr>
            <w:tcW w:w="18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44,435</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34,740</w:t>
            </w:r>
          </w:p>
        </w:tc>
        <w:tc>
          <w:tcPr>
            <w:tcW w:w="2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133,521</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102,796</w:t>
            </w:r>
          </w:p>
        </w:tc>
        <w:tc>
          <w:tcPr>
            <w:tcW w:w="0" w:type="dxa"/>
            <w:vAlign w:val="bottom"/>
          </w:tcPr>
          <w:p>
            <w:pPr>
              <w:spacing w:after="0"/>
              <w:rPr>
                <w:sz w:val="1"/>
                <w:szCs w:val="1"/>
                <w:color w:val="auto"/>
              </w:rPr>
            </w:pPr>
          </w:p>
        </w:tc>
      </w:tr>
      <w:tr>
        <w:trPr>
          <w:trHeight w:val="241"/>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Income from operations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18,189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11,255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48,384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20,035</w:t>
            </w:r>
          </w:p>
        </w:tc>
        <w:tc>
          <w:tcPr>
            <w:tcW w:w="0" w:type="dxa"/>
            <w:vAlign w:val="bottom"/>
          </w:tcPr>
          <w:p>
            <w:pPr>
              <w:spacing w:after="0"/>
              <w:rPr>
                <w:sz w:val="1"/>
                <w:szCs w:val="1"/>
                <w:color w:val="auto"/>
              </w:rPr>
            </w:pPr>
          </w:p>
        </w:tc>
      </w:tr>
      <w:tr>
        <w:trPr>
          <w:trHeight w:val="248"/>
        </w:trPr>
        <w:tc>
          <w:tcPr>
            <w:tcW w:w="4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6,045</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41"/>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Income before income taxes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20,931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11,539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54,429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20,300</w:t>
            </w:r>
          </w:p>
        </w:tc>
        <w:tc>
          <w:tcPr>
            <w:tcW w:w="0" w:type="dxa"/>
            <w:vAlign w:val="bottom"/>
          </w:tcPr>
          <w:p>
            <w:pPr>
              <w:spacing w:after="0"/>
              <w:rPr>
                <w:sz w:val="1"/>
                <w:szCs w:val="1"/>
                <w:color w:val="auto"/>
              </w:rPr>
            </w:pPr>
          </w:p>
        </w:tc>
      </w:tr>
      <w:tr>
        <w:trPr>
          <w:trHeight w:val="248"/>
        </w:trPr>
        <w:tc>
          <w:tcPr>
            <w:tcW w:w="180" w:type="dxa"/>
            <w:vAlign w:val="bottom"/>
            <w:shd w:val="clear" w:color="auto" w:fill="CCEEFF"/>
          </w:tcPr>
          <w:p>
            <w:pPr>
              <w:spacing w:after="0"/>
              <w:rPr>
                <w:sz w:val="21"/>
                <w:szCs w:val="21"/>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(5,033)</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(5,862)</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6,650</w:t>
            </w:r>
          </w:p>
        </w:tc>
        <w:tc>
          <w:tcPr>
            <w:tcW w:w="0" w:type="dxa"/>
            <w:vAlign w:val="bottom"/>
          </w:tcPr>
          <w:p>
            <w:pPr>
              <w:spacing w:after="0"/>
              <w:rPr>
                <w:sz w:val="1"/>
                <w:szCs w:val="1"/>
                <w:color w:val="auto"/>
              </w:rPr>
            </w:pPr>
          </w:p>
        </w:tc>
      </w:tr>
      <w:tr>
        <w:trPr>
          <w:trHeight w:val="248"/>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15,898</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13,211</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48,567</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26,950</w:t>
            </w:r>
          </w:p>
        </w:tc>
        <w:tc>
          <w:tcPr>
            <w:tcW w:w="0" w:type="dxa"/>
            <w:vAlign w:val="bottom"/>
          </w:tcPr>
          <w:p>
            <w:pPr>
              <w:spacing w:after="0"/>
              <w:rPr>
                <w:sz w:val="1"/>
                <w:szCs w:val="1"/>
                <w:color w:val="auto"/>
              </w:rPr>
            </w:pPr>
          </w:p>
        </w:tc>
      </w:tr>
      <w:tr>
        <w:trPr>
          <w:trHeight w:val="20"/>
        </w:trPr>
        <w:tc>
          <w:tcPr>
            <w:tcW w:w="4900" w:type="dxa"/>
            <w:vAlign w:val="bottom"/>
            <w:gridSpan w:val="4"/>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90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900" w:type="dxa"/>
            <w:vAlign w:val="bottom"/>
            <w:gridSpan w:val="4"/>
          </w:tcPr>
          <w:p>
            <w:pPr>
              <w:spacing w:after="0"/>
              <w:rPr>
                <w:sz w:val="20"/>
                <w:szCs w:val="20"/>
                <w:color w:val="auto"/>
              </w:rPr>
            </w:pPr>
            <w:r>
              <w:rPr>
                <w:rFonts w:ascii="Arial" w:cs="Arial" w:eastAsia="Arial" w:hAnsi="Arial"/>
                <w:sz w:val="17"/>
                <w:szCs w:val="17"/>
                <w:color w:val="auto"/>
              </w:rPr>
              <w:t>(1) Includes stock-based compensation expense as follows: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1"/>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7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gridSpan w:val="3"/>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6,268</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25,967</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18,603</w:t>
            </w:r>
          </w:p>
        </w:tc>
        <w:tc>
          <w:tcPr>
            <w:tcW w:w="0" w:type="dxa"/>
            <w:vAlign w:val="bottom"/>
          </w:tcPr>
          <w:p>
            <w:pPr>
              <w:spacing w:after="0"/>
              <w:rPr>
                <w:sz w:val="1"/>
                <w:szCs w:val="1"/>
                <w:color w:val="auto"/>
              </w:rPr>
            </w:pPr>
          </w:p>
        </w:tc>
      </w:tr>
      <w:tr>
        <w:trPr>
          <w:trHeight w:val="242"/>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5,184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20,389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15,026</w:t>
            </w:r>
          </w:p>
        </w:tc>
        <w:tc>
          <w:tcPr>
            <w:tcW w:w="0" w:type="dxa"/>
            <w:vAlign w:val="bottom"/>
          </w:tcPr>
          <w:p>
            <w:pPr>
              <w:spacing w:after="0"/>
              <w:rPr>
                <w:sz w:val="1"/>
                <w:szCs w:val="1"/>
                <w:color w:val="auto"/>
              </w:rPr>
            </w:pPr>
          </w:p>
        </w:tc>
      </w:tr>
      <w:tr>
        <w:trPr>
          <w:trHeight w:val="248"/>
        </w:trPr>
        <w:tc>
          <w:tcPr>
            <w:tcW w:w="4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11,845</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47,456</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37,822</w:t>
            </w:r>
          </w:p>
        </w:tc>
        <w:tc>
          <w:tcPr>
            <w:tcW w:w="0" w:type="dxa"/>
            <w:vAlign w:val="bottom"/>
          </w:tcPr>
          <w:p>
            <w:pPr>
              <w:spacing w:after="0"/>
              <w:rPr>
                <w:sz w:val="1"/>
                <w:szCs w:val="1"/>
                <w:color w:val="auto"/>
              </w:rPr>
            </w:pPr>
          </w:p>
        </w:tc>
      </w:tr>
      <w:tr>
        <w:trPr>
          <w:trHeight w:val="248"/>
        </w:trPr>
        <w:tc>
          <w:tcPr>
            <w:tcW w:w="4900" w:type="dxa"/>
            <w:vAlign w:val="bottom"/>
            <w:gridSpan w:val="4"/>
          </w:tcPr>
          <w:p>
            <w:pPr>
              <w:ind w:left="20"/>
              <w:spacing w:after="0" w:line="196" w:lineRule="exact"/>
              <w:rPr>
                <w:sz w:val="20"/>
                <w:szCs w:val="20"/>
                <w:color w:val="auto"/>
              </w:rPr>
            </w:pPr>
            <w:r>
              <w:rPr>
                <w:rFonts w:ascii="Arial" w:cs="Arial" w:eastAsia="Arial" w:hAnsi="Arial"/>
                <w:sz w:val="17"/>
                <w:szCs w:val="17"/>
                <w:color w:val="auto"/>
              </w:rPr>
              <w:t>Total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31,251</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23,297</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93,812</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71,451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1"/>
        </w:trPr>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center"/>
              <w:ind w:right="298"/>
              <w:spacing w:after="0"/>
              <w:rPr>
                <w:sz w:val="20"/>
                <w:szCs w:val="20"/>
                <w:color w:val="auto"/>
              </w:rPr>
            </w:pPr>
            <w:r>
              <w:rPr>
                <w:rFonts w:ascii="Arial" w:cs="Arial" w:eastAsia="Arial" w:hAnsi="Arial"/>
                <w:sz w:val="17"/>
                <w:szCs w:val="17"/>
                <w:color w:val="auto"/>
                <w:w w:val="94"/>
              </w:rPr>
              <w:t>25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3"/>
          </w:tcPr>
          <w:p>
            <w:pPr>
              <w:jc w:val="center"/>
              <w:ind w:left="877"/>
              <w:spacing w:after="0"/>
              <w:rPr>
                <w:sz w:val="20"/>
                <w:szCs w:val="20"/>
                <w:color w:val="auto"/>
              </w:rPr>
            </w:pPr>
            <w:r>
              <w:rPr>
                <w:rFonts w:ascii="Arial" w:cs="Arial" w:eastAsia="Arial" w:hAnsi="Arial"/>
                <w:sz w:val="14"/>
                <w:szCs w:val="14"/>
                <w:b w:val="1"/>
                <w:bCs w:val="1"/>
                <w:color w:val="auto"/>
                <w:w w:val="91"/>
              </w:rPr>
              <w:t>Nine Months Ended</w:t>
            </w:r>
          </w:p>
        </w:tc>
        <w:tc>
          <w:tcPr>
            <w:tcW w:w="960" w:type="dxa"/>
            <w:vAlign w:val="bottom"/>
          </w:tcPr>
          <w:p>
            <w:pPr>
              <w:spacing w:after="0"/>
              <w:rPr>
                <w:sz w:val="14"/>
                <w:szCs w:val="14"/>
                <w:color w:val="auto"/>
              </w:rPr>
            </w:pPr>
          </w:p>
        </w:tc>
      </w:tr>
      <w:tr>
        <w:trPr>
          <w:trHeight w:val="182"/>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3"/>
          </w:tcPr>
          <w:p>
            <w:pPr>
              <w:jc w:val="center"/>
              <w:ind w:left="897"/>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tcPr>
          <w:p>
            <w:pPr>
              <w:spacing w:after="0"/>
              <w:rPr>
                <w:sz w:val="15"/>
                <w:szCs w:val="15"/>
                <w:color w:val="auto"/>
              </w:rPr>
            </w:pPr>
          </w:p>
        </w:tc>
      </w:tr>
      <w:tr>
        <w:trPr>
          <w:trHeight w:val="23"/>
        </w:trPr>
        <w:tc>
          <w:tcPr>
            <w:tcW w:w="4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9"/>
        </w:trPr>
        <w:tc>
          <w:tcPr>
            <w:tcW w:w="5540" w:type="dxa"/>
            <w:vAlign w:val="bottom"/>
            <w:gridSpan w:val="2"/>
          </w:tcPr>
          <w:p>
            <w:pPr>
              <w:ind w:left="5240"/>
              <w:spacing w:after="0"/>
              <w:rPr>
                <w:sz w:val="20"/>
                <w:szCs w:val="20"/>
                <w:color w:val="auto"/>
              </w:rPr>
            </w:pPr>
            <w:r>
              <w:rPr>
                <w:rFonts w:ascii="Arial" w:cs="Arial" w:eastAsia="Arial" w:hAnsi="Arial"/>
                <w:sz w:val="14"/>
                <w:szCs w:val="14"/>
                <w:b w:val="1"/>
                <w:bCs w:val="1"/>
                <w:color w:val="auto"/>
                <w:w w:val="89"/>
              </w:rPr>
              <w:t>2023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15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4"/>
              <w:spacing w:after="0"/>
              <w:rPr>
                <w:sz w:val="20"/>
                <w:szCs w:val="20"/>
                <w:color w:val="auto"/>
              </w:rPr>
            </w:pPr>
            <w:r>
              <w:rPr>
                <w:rFonts w:ascii="Arial" w:cs="Arial" w:eastAsia="Arial" w:hAnsi="Arial"/>
                <w:sz w:val="14"/>
                <w:szCs w:val="14"/>
                <w:b w:val="1"/>
                <w:bCs w:val="1"/>
                <w:color w:val="auto"/>
                <w:w w:val="96"/>
              </w:rPr>
              <w:t>2022</w:t>
            </w:r>
          </w:p>
        </w:tc>
      </w:tr>
      <w:tr>
        <w:trPr>
          <w:trHeight w:val="23"/>
        </w:trPr>
        <w:tc>
          <w:tcPr>
            <w:tcW w:w="55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4"/>
        </w:trPr>
        <w:tc>
          <w:tcPr>
            <w:tcW w:w="4620" w:type="dxa"/>
            <w:vAlign w:val="bottom"/>
          </w:tcPr>
          <w:p>
            <w:pPr>
              <w:ind w:left="20"/>
              <w:spacing w:after="0" w:line="184" w:lineRule="exact"/>
              <w:rPr>
                <w:sz w:val="20"/>
                <w:szCs w:val="20"/>
                <w:color w:val="auto"/>
              </w:rPr>
            </w:pPr>
            <w:r>
              <w:rPr>
                <w:rFonts w:ascii="Arial" w:cs="Arial" w:eastAsia="Arial" w:hAnsi="Arial"/>
                <w:sz w:val="17"/>
                <w:szCs w:val="17"/>
                <w:b w:val="1"/>
                <w:bCs w:val="1"/>
                <w:color w:val="auto"/>
                <w:w w:val="91"/>
              </w:rPr>
              <w:t>Consolidated Statements of Operations Data, as a percentage</w:t>
            </w: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34"/>
        </w:trPr>
        <w:tc>
          <w:tcPr>
            <w:tcW w:w="5540" w:type="dxa"/>
            <w:vAlign w:val="bottom"/>
            <w:gridSpan w:val="2"/>
          </w:tcPr>
          <w:p>
            <w:pPr>
              <w:ind w:left="20"/>
              <w:spacing w:after="0"/>
              <w:rPr>
                <w:sz w:val="20"/>
                <w:szCs w:val="20"/>
                <w:color w:val="auto"/>
              </w:rPr>
            </w:pPr>
            <w:r>
              <w:rPr>
                <w:rFonts w:ascii="Arial" w:cs="Arial" w:eastAsia="Arial" w:hAnsi="Arial"/>
                <w:sz w:val="17"/>
                <w:szCs w:val="17"/>
                <w:b w:val="1"/>
                <w:bCs w:val="1"/>
                <w:color w:val="auto"/>
              </w:rPr>
              <w:t>of revenue: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100.0 %</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42"/>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services</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77.7</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77.6</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77.8</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78.5</w:t>
            </w:r>
          </w:p>
        </w:tc>
      </w:tr>
      <w:tr>
        <w:trPr>
          <w:trHeight w:val="248"/>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22.4</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21.5</w:t>
            </w:r>
          </w:p>
        </w:tc>
      </w:tr>
      <w:tr>
        <w:trPr>
          <w:trHeight w:val="242"/>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5.7</w:t>
            </w:r>
          </w:p>
        </w:tc>
      </w:tr>
      <w:tr>
        <w:trPr>
          <w:trHeight w:val="242"/>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General and administrative</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11.5</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12.3</w:t>
            </w:r>
          </w:p>
        </w:tc>
      </w:tr>
      <w:tr>
        <w:trPr>
          <w:trHeight w:val="241"/>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9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18.0</w:t>
            </w:r>
          </w:p>
        </w:tc>
      </w:tr>
      <w:tr>
        <w:trPr>
          <w:trHeight w:val="241"/>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Income from operations</w:t>
            </w:r>
          </w:p>
        </w:tc>
        <w:tc>
          <w:tcPr>
            <w:tcW w:w="620" w:type="dxa"/>
            <w:vAlign w:val="bottom"/>
          </w:tcPr>
          <w:p>
            <w:pPr>
              <w:jc w:val="right"/>
              <w:ind w:right="136"/>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20"/>
                <w:szCs w:val="20"/>
                <w:color w:val="auto"/>
              </w:rPr>
            </w:pPr>
          </w:p>
        </w:tc>
        <w:tc>
          <w:tcPr>
            <w:tcW w:w="1540" w:type="dxa"/>
            <w:vAlign w:val="bottom"/>
          </w:tcPr>
          <w:p>
            <w:pPr>
              <w:jc w:val="right"/>
              <w:ind w:right="117"/>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114"/>
              <w:spacing w:after="0"/>
              <w:rPr>
                <w:sz w:val="20"/>
                <w:szCs w:val="20"/>
                <w:color w:val="auto"/>
              </w:rPr>
            </w:pPr>
            <w:r>
              <w:rPr>
                <w:rFonts w:ascii="Arial" w:cs="Arial" w:eastAsia="Arial" w:hAnsi="Arial"/>
                <w:sz w:val="17"/>
                <w:szCs w:val="17"/>
                <w:color w:val="auto"/>
              </w:rPr>
              <w:t>3.5</w:t>
            </w:r>
          </w:p>
        </w:tc>
      </w:tr>
      <w:tr>
        <w:trPr>
          <w:trHeight w:val="248"/>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9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0.0</w:t>
            </w:r>
          </w:p>
        </w:tc>
      </w:tr>
      <w:tr>
        <w:trPr>
          <w:trHeight w:val="241"/>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620" w:type="dxa"/>
            <w:vAlign w:val="bottom"/>
          </w:tcPr>
          <w:p>
            <w:pPr>
              <w:jc w:val="right"/>
              <w:ind w:right="136"/>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20"/>
                <w:szCs w:val="20"/>
                <w:color w:val="auto"/>
              </w:rPr>
            </w:pPr>
          </w:p>
        </w:tc>
        <w:tc>
          <w:tcPr>
            <w:tcW w:w="1540" w:type="dxa"/>
            <w:vAlign w:val="bottom"/>
          </w:tcPr>
          <w:p>
            <w:pPr>
              <w:jc w:val="right"/>
              <w:ind w:right="117"/>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114"/>
              <w:spacing w:after="0"/>
              <w:rPr>
                <w:sz w:val="20"/>
                <w:szCs w:val="20"/>
                <w:color w:val="auto"/>
              </w:rPr>
            </w:pPr>
            <w:r>
              <w:rPr>
                <w:rFonts w:ascii="Arial" w:cs="Arial" w:eastAsia="Arial" w:hAnsi="Arial"/>
                <w:sz w:val="17"/>
                <w:szCs w:val="17"/>
                <w:color w:val="auto"/>
              </w:rPr>
              <w:t>3.5</w:t>
            </w:r>
          </w:p>
        </w:tc>
      </w:tr>
      <w:tr>
        <w:trPr>
          <w:trHeight w:val="248"/>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benefit for income taxes</w:t>
            </w:r>
          </w:p>
        </w:tc>
        <w:tc>
          <w:tcPr>
            <w:tcW w:w="9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0.8</w:t>
            </w:r>
          </w:p>
        </w:tc>
        <w:tc>
          <w:tcPr>
            <w:tcW w:w="8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1.2</w:t>
            </w:r>
          </w:p>
        </w:tc>
      </w:tr>
      <w:tr>
        <w:trPr>
          <w:trHeight w:val="248"/>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5.7 %</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5.9 %</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4.7 %</w:t>
            </w:r>
          </w:p>
        </w:tc>
      </w:tr>
      <w:tr>
        <w:trPr>
          <w:trHeight w:val="20"/>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 – Adjusted EBITDA</w:t>
      </w:r>
    </w:p>
    <w:p>
      <w:pPr>
        <w:spacing w:after="0" w:line="229"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78" w:lineRule="exact"/>
        <w:rPr>
          <w:sz w:val="20"/>
          <w:szCs w:val="20"/>
          <w:color w:val="auto"/>
        </w:rPr>
      </w:pPr>
    </w:p>
    <w:p>
      <w:pPr>
        <w:jc w:val="both"/>
        <w:ind w:firstLine="627"/>
        <w:spacing w:after="0" w:line="295" w:lineRule="auto"/>
        <w:rPr>
          <w:sz w:val="20"/>
          <w:szCs w:val="20"/>
          <w:color w:val="auto"/>
        </w:rPr>
      </w:pPr>
      <w:r>
        <w:rPr>
          <w:rFonts w:ascii="Arial" w:cs="Arial" w:eastAsia="Arial" w:hAnsi="Arial"/>
          <w:sz w:val="15"/>
          <w:szCs w:val="15"/>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w:t>
      </w:r>
    </w:p>
    <w:p>
      <w:pPr>
        <w:jc w:val="both"/>
        <w:ind w:firstLine="5"/>
        <w:spacing w:after="0" w:line="260"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does not reflect other non-operating income and expenses, including other (income) expense, net and interest (income) expense,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84"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We calculate Adjusted EBITDA as net income, adjusted to exclude depreciation and amortization, stock-based compensation expense, other income, net, interest income, net, and provision (benefit) for income taxes. The following table presents a reconciliation of Adjusted EBITDA to net income, the most directly comparable financial measure stated in accordance with U.S. GAAP, for each of the periods indicated: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w w:val="90"/>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r>
      <w:tr>
        <w:trPr>
          <w:trHeight w:val="182"/>
        </w:trPr>
        <w:tc>
          <w:tcPr>
            <w:tcW w:w="4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5"/>
                <w:szCs w:val="15"/>
                <w:color w:val="auto"/>
              </w:rPr>
            </w:pPr>
          </w:p>
        </w:tc>
      </w:tr>
      <w:tr>
        <w:trPr>
          <w:trHeight w:val="23"/>
        </w:trPr>
        <w:tc>
          <w:tcPr>
            <w:tcW w:w="48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9"/>
        </w:trPr>
        <w:tc>
          <w:tcPr>
            <w:tcW w:w="48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2022</w:t>
            </w:r>
          </w:p>
        </w:tc>
      </w:tr>
      <w:tr>
        <w:trPr>
          <w:trHeight w:val="23"/>
        </w:trPr>
        <w:tc>
          <w:tcPr>
            <w:tcW w:w="48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8"/>
        </w:trPr>
        <w:tc>
          <w:tcPr>
            <w:tcW w:w="4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
        </w:trPr>
        <w:tc>
          <w:tcPr>
            <w:tcW w:w="4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8"/>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15,898</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13,211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48,567</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42"/>
        </w:trPr>
        <w:tc>
          <w:tcPr>
            <w:tcW w:w="4880" w:type="dxa"/>
            <w:vAlign w:val="bottom"/>
          </w:tcPr>
          <w:p>
            <w:pPr>
              <w:spacing w:after="0"/>
              <w:rPr>
                <w:sz w:val="20"/>
                <w:szCs w:val="20"/>
                <w:color w:val="auto"/>
              </w:rPr>
            </w:pPr>
            <w:r>
              <w:rPr>
                <w:rFonts w:ascii="Arial" w:cs="Arial" w:eastAsia="Arial" w:hAnsi="Arial"/>
                <w:sz w:val="17"/>
                <w:szCs w:val="17"/>
                <w:color w:val="auto"/>
              </w:rPr>
              <w:t>Add:</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5"/>
        </w:trPr>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2"/>
        </w:trPr>
        <w:tc>
          <w:tcPr>
            <w:tcW w:w="4880" w:type="dxa"/>
            <w:vAlign w:val="bottom"/>
          </w:tcPr>
          <w:p>
            <w:pPr>
              <w:ind w:left="160"/>
              <w:spacing w:after="0" w:line="196" w:lineRule="exact"/>
              <w:rPr>
                <w:sz w:val="20"/>
                <w:szCs w:val="20"/>
                <w:color w:val="auto"/>
              </w:rPr>
            </w:pP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31,251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23,297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93,812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55"/>
        </w:trPr>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income, net</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(3,483)</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42"/>
        </w:trPr>
        <w:tc>
          <w:tcPr>
            <w:tcW w:w="4880" w:type="dxa"/>
            <w:vAlign w:val="bottom"/>
          </w:tcPr>
          <w:p>
            <w:pPr>
              <w:ind w:left="160"/>
              <w:spacing w:after="0"/>
              <w:rPr>
                <w:sz w:val="20"/>
                <w:szCs w:val="20"/>
                <w:color w:val="auto"/>
              </w:rPr>
            </w:pPr>
            <w:r>
              <w:rPr>
                <w:rFonts w:ascii="Arial" w:cs="Arial" w:eastAsia="Arial" w:hAnsi="Arial"/>
                <w:sz w:val="17"/>
                <w:szCs w:val="17"/>
                <w:color w:val="auto"/>
              </w:rPr>
              <w:t>Interest income, net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(1,034)</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(2,562)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(benefit) for income taxes</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5,033</w:t>
            </w:r>
          </w:p>
        </w:tc>
        <w:tc>
          <w:tcPr>
            <w:tcW w:w="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(1,672)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5,862</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Adjusted EBITDA</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50,019</w:t>
            </w:r>
          </w:p>
        </w:tc>
        <w:tc>
          <w:tcPr>
            <w:tcW w:w="80" w:type="dxa"/>
            <w:vAlign w:val="bottom"/>
          </w:tcPr>
          <w:p>
            <w:pPr>
              <w:spacing w:after="0"/>
              <w:rPr>
                <w:sz w:val="21"/>
                <w:szCs w:val="21"/>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34,957</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143,843</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r>
      <w:tr>
        <w:trPr>
          <w:trHeight w:val="20"/>
        </w:trPr>
        <w:tc>
          <w:tcPr>
            <w:tcW w:w="4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September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90"/>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50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$280,891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$205,371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right="100" w:firstLine="627"/>
        <w:spacing w:after="0" w:line="263" w:lineRule="auto"/>
        <w:rPr>
          <w:sz w:val="20"/>
          <w:szCs w:val="20"/>
          <w:color w:val="auto"/>
        </w:rPr>
      </w:pPr>
      <w:r>
        <w:rPr>
          <w:rFonts w:ascii="Arial" w:cs="Arial" w:eastAsia="Arial" w:hAnsi="Arial"/>
          <w:sz w:val="17"/>
          <w:szCs w:val="17"/>
          <w:color w:val="auto"/>
        </w:rPr>
        <w:t>Revenue increased by $75.5 million, or 37%, for the three months ended September 30, 2023 compared to the three months ended September 30, 2022. This increase is primarily due to a $45.8 million, or 35%, increase in revenue from our fertility benefits solution and a $29.7 million, or 39%,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Services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90"/>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50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$218,267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$159,376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100" w:firstLine="627"/>
        <w:spacing w:after="0" w:line="267" w:lineRule="auto"/>
        <w:rPr>
          <w:sz w:val="20"/>
          <w:szCs w:val="20"/>
          <w:color w:val="auto"/>
        </w:rPr>
      </w:pPr>
      <w:r>
        <w:rPr>
          <w:rFonts w:ascii="Arial" w:cs="Arial" w:eastAsia="Arial" w:hAnsi="Arial"/>
          <w:sz w:val="17"/>
          <w:szCs w:val="17"/>
          <w:color w:val="auto"/>
        </w:rPr>
        <w:t>Cost of services increased by $58.9 million, or 37%, for the three months ended September 30, 2023 compared to the three months ended September 30, 2022 primarily due to an increase in medical treatment and pharmacy prescription costs associated with fertility treatments delivered. This increase was also attributable to an increase in personnel-related costs primarily due to incremental headcount as well as a $2.7 million increase in stock-based compensation expense.</w:t>
      </w: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258"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300" w:type="dxa"/>
            <w:vAlign w:val="bottom"/>
            <w:gridSpan w:val="3"/>
          </w:tcPr>
          <w:p>
            <w:pPr>
              <w:jc w:val="center"/>
              <w:ind w:left="885"/>
              <w:spacing w:after="0"/>
              <w:rPr>
                <w:sz w:val="20"/>
                <w:szCs w:val="20"/>
                <w:color w:val="auto"/>
              </w:rPr>
            </w:pPr>
            <w:r>
              <w:rPr>
                <w:rFonts w:ascii="Arial" w:cs="Arial" w:eastAsia="Arial" w:hAnsi="Arial"/>
                <w:sz w:val="14"/>
                <w:szCs w:val="14"/>
                <w:b w:val="1"/>
                <w:bCs w:val="1"/>
                <w:color w:val="auto"/>
                <w:w w:val="90"/>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20" w:type="dxa"/>
            <w:vAlign w:val="bottom"/>
          </w:tcPr>
          <w:p>
            <w:pPr>
              <w:spacing w:after="0"/>
              <w:rPr>
                <w:sz w:val="15"/>
                <w:szCs w:val="15"/>
                <w:color w:val="auto"/>
              </w:rPr>
            </w:pPr>
          </w:p>
        </w:tc>
        <w:tc>
          <w:tcPr>
            <w:tcW w:w="2300" w:type="dxa"/>
            <w:vAlign w:val="bottom"/>
            <w:gridSpan w:val="3"/>
          </w:tcPr>
          <w:p>
            <w:pPr>
              <w:jc w:val="center"/>
              <w:ind w:left="865"/>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1580" w:type="dxa"/>
            <w:vAlign w:val="bottom"/>
          </w:tcPr>
          <w:p>
            <w:pPr>
              <w:jc w:val="right"/>
              <w:ind w:right="58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ind w:right="57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20" w:type="dxa"/>
            <w:vAlign w:val="bottom"/>
          </w:tcPr>
          <w:p>
            <w:pPr>
              <w:spacing w:after="0"/>
              <w:rPr>
                <w:sz w:val="22"/>
                <w:szCs w:val="22"/>
                <w:color w:val="auto"/>
              </w:rPr>
            </w:pPr>
          </w:p>
        </w:tc>
        <w:tc>
          <w:tcPr>
            <w:tcW w:w="2300" w:type="dxa"/>
            <w:vAlign w:val="bottom"/>
            <w:gridSpan w:val="3"/>
          </w:tcPr>
          <w:p>
            <w:pPr>
              <w:jc w:val="center"/>
              <w:ind w:left="865"/>
              <w:spacing w:after="0"/>
              <w:rPr>
                <w:sz w:val="20"/>
                <w:szCs w:val="20"/>
                <w:color w:val="auto"/>
              </w:rPr>
            </w:pPr>
            <w:r>
              <w:rPr>
                <w:rFonts w:ascii="Arial" w:cs="Arial" w:eastAsia="Arial" w:hAnsi="Arial"/>
                <w:sz w:val="14"/>
                <w:szCs w:val="14"/>
                <w:b w:val="1"/>
                <w:bCs w:val="1"/>
                <w:color w:val="auto"/>
                <w:w w:val="87"/>
              </w:rPr>
              <w:t>(dollars in thousands)</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58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rPr>
              <w:t>$62,624</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$45,995</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0" w:type="dxa"/>
            <w:vAlign w:val="bottom"/>
          </w:tcPr>
          <w:p>
            <w:pPr>
              <w:spacing w:after="0"/>
              <w:rPr>
                <w:sz w:val="1"/>
                <w:szCs w:val="1"/>
                <w:color w:val="auto"/>
              </w:rPr>
            </w:pPr>
          </w:p>
        </w:tc>
      </w:tr>
      <w:tr>
        <w:trPr>
          <w:trHeight w:val="235"/>
        </w:trPr>
        <w:tc>
          <w:tcPr>
            <w:tcW w:w="632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580" w:type="dxa"/>
            <w:vAlign w:val="bottom"/>
          </w:tcPr>
          <w:p>
            <w:pPr>
              <w:jc w:val="right"/>
              <w:spacing w:after="0"/>
              <w:rPr>
                <w:sz w:val="20"/>
                <w:szCs w:val="20"/>
                <w:color w:val="auto"/>
              </w:rPr>
            </w:pPr>
            <w:r>
              <w:rPr>
                <w:rFonts w:ascii="Arial" w:cs="Arial" w:eastAsia="Arial" w:hAnsi="Arial"/>
                <w:sz w:val="17"/>
                <w:szCs w:val="17"/>
                <w:color w:val="auto"/>
              </w:rPr>
              <w:t>22.3 %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22.4 %</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Gross profit increased by $16.6 million, or 36%, for the three months ended September 30, 2023 compared to the three months ended September 30,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211" w:lineRule="exact"/>
        <w:rPr>
          <w:sz w:val="20"/>
          <w:szCs w:val="20"/>
          <w:color w:val="auto"/>
        </w:rPr>
      </w:pPr>
    </w:p>
    <w:p>
      <w:pPr>
        <w:jc w:val="both"/>
        <w:ind w:right="440" w:firstLine="627"/>
        <w:spacing w:after="0" w:line="272" w:lineRule="auto"/>
        <w:rPr>
          <w:sz w:val="20"/>
          <w:szCs w:val="20"/>
          <w:color w:val="auto"/>
        </w:rPr>
      </w:pPr>
      <w:r>
        <w:rPr>
          <w:rFonts w:ascii="Arial" w:cs="Arial" w:eastAsia="Arial" w:hAnsi="Arial"/>
          <w:sz w:val="17"/>
          <w:szCs w:val="17"/>
          <w:color w:val="auto"/>
        </w:rPr>
        <w:t>Gross margin decreased 10 basis points for the three months ended September 30, 2023 compared to the three months ended September 30, 2022, primarily due to an increase in personnel-related costs and the impact of cost containment efforts that are shared with our clients, largely offset by ongoing efficiencies realized in the delivery of our care management services.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90"/>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50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Sales and marketing expense increased by $3.7 million, or 34% for the three months ended September 30, 2023 compared to the three months ended September 30, 2022. This increase was primarily due to a $3.2 million increase in personnel-related costs attributable to an increase in stock-based compensation expense of $1.8 million, incremental headcount and an increase in sales commissions, as well as a $0.5 million increase in other related sales and marketing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90"/>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50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$23,574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General and administrative expense increased by $6.0 million, or 25%, for the three months ended September 30, 2023 compared to the three months ended September 30, 2022. This increase was due to a $3.6 million increase in personnel-related costs attributable to an increase in stock-based compensation expense of $3.5 million, a $1.7 million increase in bad debt expense driven by our revenue growth, and a $0.7 million increase in other related general and administrative expenses.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7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2520" w:type="dxa"/>
            <w:vAlign w:val="bottom"/>
            <w:gridSpan w:val="4"/>
          </w:tcPr>
          <w:p>
            <w:pPr>
              <w:jc w:val="center"/>
              <w:ind w:left="430"/>
              <w:spacing w:after="0"/>
              <w:rPr>
                <w:sz w:val="20"/>
                <w:szCs w:val="20"/>
                <w:color w:val="auto"/>
              </w:rPr>
            </w:pPr>
            <w:r>
              <w:rPr>
                <w:rFonts w:ascii="Arial" w:cs="Arial" w:eastAsia="Arial" w:hAnsi="Arial"/>
                <w:sz w:val="14"/>
                <w:szCs w:val="14"/>
                <w:b w:val="1"/>
                <w:bCs w:val="1"/>
                <w:color w:val="auto"/>
                <w:w w:val="88"/>
              </w:rPr>
              <w:t>(dollars in thousands)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400" w:type="dxa"/>
            <w:vAlign w:val="bottom"/>
            <w:gridSpan w:val="2"/>
            <w:shd w:val="clear" w:color="auto" w:fill="CCEEFF"/>
          </w:tcPr>
          <w:p>
            <w:pPr>
              <w:jc w:val="right"/>
              <w:ind w:right="6050"/>
              <w:spacing w:after="0"/>
              <w:rPr>
                <w:sz w:val="20"/>
                <w:szCs w:val="20"/>
                <w:color w:val="auto"/>
              </w:rPr>
            </w:pPr>
            <w:r>
              <w:rPr>
                <w:rFonts w:ascii="Arial" w:cs="Arial" w:eastAsia="Arial" w:hAnsi="Arial"/>
                <w:sz w:val="17"/>
                <w:szCs w:val="17"/>
                <w:color w:val="auto"/>
                <w:w w:val="93"/>
              </w:rPr>
              <w:t>Other income, net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$2,742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Other income, net increased by $2.5 million for the three months ended September 30, 2023 compared to the three months ended September 30, 2022, primarily due to an increase in investment and interest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90"/>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60" w:type="dxa"/>
            <w:vAlign w:val="bottom"/>
            <w:gridSpan w:val="3"/>
          </w:tcPr>
          <w:p>
            <w:pPr>
              <w:jc w:val="center"/>
              <w:ind w:left="787"/>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50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(Provision) benefit for income taxes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For the three months ended September 30, 2023, we recorded a provision for income taxes of $5.0 million, as compared to a benefit for income taxes of $1.7 million for the three months ended September 30, 2022, primarily due to the higher operating profit as well as a decrease in tax benefits for equity compensation, including discrete tax benefits, in the current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Nine Months Ended September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40" w:type="dxa"/>
            <w:vAlign w:val="bottom"/>
            <w:gridSpan w:val="3"/>
          </w:tcPr>
          <w:p>
            <w:pPr>
              <w:jc w:val="center"/>
              <w:ind w:left="827"/>
              <w:spacing w:after="0"/>
              <w:rPr>
                <w:sz w:val="20"/>
                <w:szCs w:val="20"/>
                <w:color w:val="auto"/>
              </w:rPr>
            </w:pPr>
            <w:r>
              <w:rPr>
                <w:rFonts w:ascii="Arial" w:cs="Arial" w:eastAsia="Arial" w:hAnsi="Arial"/>
                <w:sz w:val="14"/>
                <w:szCs w:val="14"/>
                <w:b w:val="1"/>
                <w:bCs w:val="1"/>
                <w:color w:val="auto"/>
                <w:w w:val="91"/>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40" w:type="dxa"/>
            <w:vAlign w:val="bottom"/>
            <w:gridSpan w:val="3"/>
          </w:tcPr>
          <w:p>
            <w:pPr>
              <w:jc w:val="center"/>
              <w:ind w:left="807"/>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5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$818,658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$572,592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Revenue increased by $246.1 million, or 43%, for the nine months ended September 30, 2023 compared to the nine months ended September 30, 2022. This increase is primarily due to a $138.0 million, or 38%, increase in revenue from our fertility benefits solution and a $108.1 million, or 53%,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 Our revenue growth for the nine months ended September 30, 2022 was negatively impacted by COVID-19.</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Services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40" w:type="dxa"/>
            <w:vAlign w:val="bottom"/>
            <w:gridSpan w:val="3"/>
          </w:tcPr>
          <w:p>
            <w:pPr>
              <w:jc w:val="center"/>
              <w:ind w:left="827"/>
              <w:spacing w:after="0"/>
              <w:rPr>
                <w:sz w:val="20"/>
                <w:szCs w:val="20"/>
                <w:color w:val="auto"/>
              </w:rPr>
            </w:pPr>
            <w:r>
              <w:rPr>
                <w:rFonts w:ascii="Arial" w:cs="Arial" w:eastAsia="Arial" w:hAnsi="Arial"/>
                <w:sz w:val="14"/>
                <w:szCs w:val="14"/>
                <w:b w:val="1"/>
                <w:bCs w:val="1"/>
                <w:color w:val="auto"/>
                <w:w w:val="91"/>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40" w:type="dxa"/>
            <w:vAlign w:val="bottom"/>
            <w:gridSpan w:val="3"/>
          </w:tcPr>
          <w:p>
            <w:pPr>
              <w:jc w:val="center"/>
              <w:ind w:left="807"/>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5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$636,753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$449,761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Cost of services increased by $187.0 million, or 42%, for the nine months ended September 30, 2023 compared to the nine months ended September 30, 2022 primarily due to an increase in medical treatment and pharmacy prescription costs associated with fertility treatments delivered. This increase in cost of services was also attributable to an increase in personnel-related costs primarily due to incremental headcount as well as a $7.4 million increase in stock-based compensation expense.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300" w:type="dxa"/>
            <w:vAlign w:val="bottom"/>
            <w:gridSpan w:val="3"/>
          </w:tcPr>
          <w:p>
            <w:pPr>
              <w:jc w:val="center"/>
              <w:ind w:left="865"/>
              <w:spacing w:after="0"/>
              <w:rPr>
                <w:sz w:val="20"/>
                <w:szCs w:val="20"/>
                <w:color w:val="auto"/>
              </w:rPr>
            </w:pPr>
            <w:r>
              <w:rPr>
                <w:rFonts w:ascii="Arial" w:cs="Arial" w:eastAsia="Arial" w:hAnsi="Arial"/>
                <w:sz w:val="14"/>
                <w:szCs w:val="14"/>
                <w:b w:val="1"/>
                <w:bCs w:val="1"/>
                <w:color w:val="auto"/>
                <w:w w:val="91"/>
              </w:rPr>
              <w:t>Nine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20" w:type="dxa"/>
            <w:vAlign w:val="bottom"/>
          </w:tcPr>
          <w:p>
            <w:pPr>
              <w:spacing w:after="0"/>
              <w:rPr>
                <w:sz w:val="15"/>
                <w:szCs w:val="15"/>
                <w:color w:val="auto"/>
              </w:rPr>
            </w:pPr>
          </w:p>
        </w:tc>
        <w:tc>
          <w:tcPr>
            <w:tcW w:w="2300" w:type="dxa"/>
            <w:vAlign w:val="bottom"/>
            <w:gridSpan w:val="3"/>
          </w:tcPr>
          <w:p>
            <w:pPr>
              <w:jc w:val="center"/>
              <w:ind w:left="865"/>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1580" w:type="dxa"/>
            <w:vAlign w:val="bottom"/>
          </w:tcPr>
          <w:p>
            <w:pPr>
              <w:jc w:val="right"/>
              <w:ind w:right="58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ind w:right="57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20" w:type="dxa"/>
            <w:vAlign w:val="bottom"/>
          </w:tcPr>
          <w:p>
            <w:pPr>
              <w:spacing w:after="0"/>
              <w:rPr>
                <w:sz w:val="22"/>
                <w:szCs w:val="22"/>
                <w:color w:val="auto"/>
              </w:rPr>
            </w:pPr>
          </w:p>
        </w:tc>
        <w:tc>
          <w:tcPr>
            <w:tcW w:w="2300" w:type="dxa"/>
            <w:vAlign w:val="bottom"/>
            <w:gridSpan w:val="3"/>
          </w:tcPr>
          <w:p>
            <w:pPr>
              <w:jc w:val="center"/>
              <w:ind w:left="865"/>
              <w:spacing w:after="0"/>
              <w:rPr>
                <w:sz w:val="20"/>
                <w:szCs w:val="20"/>
                <w:color w:val="auto"/>
              </w:rPr>
            </w:pPr>
            <w:r>
              <w:rPr>
                <w:rFonts w:ascii="Arial" w:cs="Arial" w:eastAsia="Arial" w:hAnsi="Arial"/>
                <w:sz w:val="14"/>
                <w:szCs w:val="14"/>
                <w:b w:val="1"/>
                <w:bCs w:val="1"/>
                <w:color w:val="auto"/>
                <w:w w:val="87"/>
              </w:rPr>
              <w:t>(dollars in thousands)</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58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rPr>
              <w:t>$181,905</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$122,831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248"/>
        </w:trPr>
        <w:tc>
          <w:tcPr>
            <w:tcW w:w="632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580" w:type="dxa"/>
            <w:vAlign w:val="bottom"/>
          </w:tcPr>
          <w:p>
            <w:pPr>
              <w:jc w:val="right"/>
              <w:spacing w:after="0"/>
              <w:rPr>
                <w:sz w:val="20"/>
                <w:szCs w:val="20"/>
                <w:color w:val="auto"/>
              </w:rPr>
            </w:pPr>
            <w:r>
              <w:rPr>
                <w:rFonts w:ascii="Arial" w:cs="Arial" w:eastAsia="Arial" w:hAnsi="Arial"/>
                <w:sz w:val="17"/>
                <w:szCs w:val="17"/>
                <w:color w:val="auto"/>
              </w:rPr>
              <w:t>22.2 %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21.5 %</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Gross profit increased by $59.1 million, or 48%, for the nine months ended September 30, 2023 compared to the nine months ended September 30,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211" w:lineRule="exact"/>
        <w:rPr>
          <w:sz w:val="20"/>
          <w:szCs w:val="20"/>
          <w:color w:val="auto"/>
        </w:rPr>
      </w:pPr>
    </w:p>
    <w:p>
      <w:pPr>
        <w:ind w:right="360" w:firstLine="627"/>
        <w:spacing w:after="0" w:line="272" w:lineRule="auto"/>
        <w:rPr>
          <w:sz w:val="20"/>
          <w:szCs w:val="20"/>
          <w:color w:val="auto"/>
        </w:rPr>
      </w:pPr>
      <w:r>
        <w:rPr>
          <w:rFonts w:ascii="Arial" w:cs="Arial" w:eastAsia="Arial" w:hAnsi="Arial"/>
          <w:sz w:val="17"/>
          <w:szCs w:val="17"/>
          <w:color w:val="auto"/>
        </w:rPr>
        <w:t>Gross margin increased 70 basis points for the nine months ended September 30, 2023 compared to the nine months ended September 30, 2022, primarily due to ongoing efficiencies realized in the delivery of our care management services, partially offset by the impact of cost containment efforts that were shared with our clients.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40" w:type="dxa"/>
            <w:vAlign w:val="bottom"/>
            <w:gridSpan w:val="3"/>
          </w:tcPr>
          <w:p>
            <w:pPr>
              <w:jc w:val="center"/>
              <w:ind w:left="827"/>
              <w:spacing w:after="0"/>
              <w:rPr>
                <w:sz w:val="20"/>
                <w:szCs w:val="20"/>
                <w:color w:val="auto"/>
              </w:rPr>
            </w:pPr>
            <w:r>
              <w:rPr>
                <w:rFonts w:ascii="Arial" w:cs="Arial" w:eastAsia="Arial" w:hAnsi="Arial"/>
                <w:sz w:val="14"/>
                <w:szCs w:val="14"/>
                <w:b w:val="1"/>
                <w:bCs w:val="1"/>
                <w:color w:val="auto"/>
                <w:w w:val="91"/>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40" w:type="dxa"/>
            <w:vAlign w:val="bottom"/>
            <w:gridSpan w:val="3"/>
          </w:tcPr>
          <w:p>
            <w:pPr>
              <w:jc w:val="center"/>
              <w:ind w:left="807"/>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5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$44,577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$32,677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Sales and marketing expense increased by $11.9 million, or 36% for the nine months ended September 30, 2023 compared to the nine months ended September 30, 2022. This increase was primarily due to a $9.6 million increase in personnel-related costs attributable to an increase in stock-based compensation expense of $5.4 million, incremental headcount and an increase in sales commissions, as well as a $2.3 million increase in other related sales and marketing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40" w:type="dxa"/>
            <w:vAlign w:val="bottom"/>
            <w:gridSpan w:val="3"/>
          </w:tcPr>
          <w:p>
            <w:pPr>
              <w:jc w:val="center"/>
              <w:ind w:left="827"/>
              <w:spacing w:after="0"/>
              <w:rPr>
                <w:sz w:val="20"/>
                <w:szCs w:val="20"/>
                <w:color w:val="auto"/>
              </w:rPr>
            </w:pPr>
            <w:r>
              <w:rPr>
                <w:rFonts w:ascii="Arial" w:cs="Arial" w:eastAsia="Arial" w:hAnsi="Arial"/>
                <w:sz w:val="14"/>
                <w:szCs w:val="14"/>
                <w:b w:val="1"/>
                <w:bCs w:val="1"/>
                <w:color w:val="auto"/>
                <w:w w:val="91"/>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40" w:type="dxa"/>
            <w:vAlign w:val="bottom"/>
            <w:gridSpan w:val="3"/>
          </w:tcPr>
          <w:p>
            <w:pPr>
              <w:jc w:val="center"/>
              <w:ind w:left="807"/>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5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$88,944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$70,119</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General and administrative expense increased by $18.8 million, or 27%, for the nine months ended September 30, 2023 compared to the nine months ended September 30, 2022. This increase was primarily due to a $11.1 million increase in personnel-related costs including an increase in stock-based compensation expense of $9.6 million, a $5.4 million increase in bad debt expense driven by our revenue growth, as well as a $2.3 million increase in other related general and administrative expenses.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7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22"/>
              <w:spacing w:after="0"/>
              <w:rPr>
                <w:sz w:val="20"/>
                <w:szCs w:val="20"/>
                <w:color w:val="auto"/>
              </w:rPr>
            </w:pPr>
            <w:r>
              <w:rPr>
                <w:rFonts w:ascii="Arial" w:cs="Arial" w:eastAsia="Arial" w:hAnsi="Arial"/>
                <w:sz w:val="14"/>
                <w:szCs w:val="14"/>
                <w:b w:val="1"/>
                <w:bCs w:val="1"/>
                <w:color w:val="auto"/>
                <w:w w:val="83"/>
              </w:rPr>
              <w:t>2022</w:t>
            </w:r>
          </w:p>
        </w:tc>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(dollars in thousands)</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500" w:type="dxa"/>
            <w:vAlign w:val="bottom"/>
            <w:gridSpan w:val="2"/>
            <w:shd w:val="clear" w:color="auto" w:fill="CCEEFF"/>
          </w:tcPr>
          <w:p>
            <w:pPr>
              <w:jc w:val="right"/>
              <w:ind w:right="6220"/>
              <w:spacing w:after="0"/>
              <w:rPr>
                <w:sz w:val="20"/>
                <w:szCs w:val="20"/>
                <w:color w:val="auto"/>
              </w:rPr>
            </w:pPr>
            <w:r>
              <w:rPr>
                <w:rFonts w:ascii="Arial" w:cs="Arial" w:eastAsia="Arial" w:hAnsi="Arial"/>
                <w:sz w:val="17"/>
                <w:szCs w:val="17"/>
                <w:color w:val="auto"/>
                <w:w w:val="93"/>
              </w:rPr>
              <w:t>Other income, net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$6,045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$265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Other income, net increased by $5.8 million for the nine months ended September 30, 2023 compared to the nine months ended September 30, 2022, primarily due to an increase in investment and interest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40" w:type="dxa"/>
            <w:vAlign w:val="bottom"/>
            <w:gridSpan w:val="3"/>
          </w:tcPr>
          <w:p>
            <w:pPr>
              <w:jc w:val="center"/>
              <w:ind w:left="827"/>
              <w:spacing w:after="0"/>
              <w:rPr>
                <w:sz w:val="20"/>
                <w:szCs w:val="20"/>
                <w:color w:val="auto"/>
              </w:rPr>
            </w:pPr>
            <w:r>
              <w:rPr>
                <w:rFonts w:ascii="Arial" w:cs="Arial" w:eastAsia="Arial" w:hAnsi="Arial"/>
                <w:sz w:val="14"/>
                <w:szCs w:val="14"/>
                <w:b w:val="1"/>
                <w:bCs w:val="1"/>
                <w:color w:val="auto"/>
                <w:w w:val="91"/>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140" w:type="dxa"/>
            <w:vAlign w:val="bottom"/>
            <w:gridSpan w:val="3"/>
          </w:tcPr>
          <w:p>
            <w:pPr>
              <w:jc w:val="center"/>
              <w:ind w:left="807"/>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460" w:type="dxa"/>
            <w:vAlign w:val="bottom"/>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5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(dollars in 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(Provision) benefit for income taxes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For the nine months ended September 30, 2023, we recorded a provision for income taxes of $5.9 million as compared to a benefit for income taxes of $6.7 million for the nine months ended September 30, 2022, primarily due to the higher operating profit as well as a decrease in tax benefits for equity compensation, including discrete tax benefits, in the current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9" w:lineRule="exact"/>
        <w:rPr>
          <w:sz w:val="20"/>
          <w:szCs w:val="20"/>
          <w:color w:val="auto"/>
        </w:rPr>
      </w:pPr>
    </w:p>
    <w:p>
      <w:pPr>
        <w:jc w:val="both"/>
        <w:ind w:firstLine="627"/>
        <w:spacing w:after="0" w:line="269" w:lineRule="auto"/>
        <w:rPr>
          <w:sz w:val="20"/>
          <w:szCs w:val="20"/>
          <w:color w:val="auto"/>
        </w:rPr>
      </w:pPr>
      <w:r>
        <w:rPr>
          <w:rFonts w:ascii="Arial" w:cs="Arial" w:eastAsia="Arial" w:hAnsi="Arial"/>
          <w:sz w:val="16"/>
          <w:szCs w:val="16"/>
          <w:color w:val="auto"/>
        </w:rPr>
        <w:t>As of September 30, 2023, we had $158.1 million of cash and cash equivalents and $177.5 million of marketable securities. Since inception, we have financed our operations primarily through sales of our solutions and the net proceeds we have received from sales of equity securities, including our initial public offering.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20"/>
          <w:szCs w:val="20"/>
          <w:color w:val="auto"/>
          <w:vertAlign w:val="superscript"/>
        </w:rPr>
        <w:t>st</w:t>
      </w:r>
      <w:r>
        <w:rPr>
          <w:rFonts w:ascii="Arial" w:cs="Arial" w:eastAsia="Arial" w:hAnsi="Arial"/>
          <w:sz w:val="16"/>
          <w:szCs w:val="16"/>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65" w:lineRule="exact"/>
        <w:rPr>
          <w:sz w:val="20"/>
          <w:szCs w:val="20"/>
          <w:color w:val="auto"/>
        </w:rPr>
      </w:pPr>
    </w:p>
    <w:p>
      <w:pPr>
        <w:jc w:val="both"/>
        <w:ind w:firstLine="627"/>
        <w:spacing w:after="0" w:line="243" w:lineRule="auto"/>
        <w:rPr>
          <w:sz w:val="20"/>
          <w:szCs w:val="20"/>
          <w:color w:val="auto"/>
        </w:rPr>
      </w:pPr>
      <w:r>
        <w:rPr>
          <w:rFonts w:ascii="Arial" w:cs="Arial" w:eastAsia="Arial" w:hAnsi="Arial"/>
          <w:sz w:val="17"/>
          <w:szCs w:val="17"/>
          <w:color w:val="auto"/>
        </w:rPr>
        <w:t>We believe that our existing cash and cash equivalents, marketable securities, and cash flow from operations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98"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Other than the prior impact on our revenue growth and the related cash flows resulting from the various restrictions on activities due to the COVID-19 pandemic, as of September 30, 2023, our sources and uses of cash were not otherwise materially impacted by the COVID-19 pandemic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including variants,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If the disruption persists and deepens, we could experience an inability to access additional capital, which could in the future negatively affect our operations. For additional information on the various risks posed by the COVID-19 pandemic, please refer to Part II, Item 1A. "Risk Factors" included in this Quarterly Report on Form 10-Q.</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our cash flows from operations for the periods presented:</w:t>
      </w:r>
    </w:p>
    <w:p>
      <w:pPr>
        <w:spacing w:after="0" w:line="265"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Nine Months Ended</w:t>
      </w:r>
    </w:p>
    <w:p>
      <w:pPr>
        <w:spacing w:after="0" w:line="12"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3"/>
        </w:trPr>
        <w:tc>
          <w:tcPr>
            <w:tcW w:w="8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2"/>
                <w:szCs w:val="22"/>
                <w:color w:val="auto"/>
              </w:rPr>
            </w:pPr>
          </w:p>
        </w:tc>
      </w:tr>
      <w:tr>
        <w:trPr>
          <w:trHeight w:val="23"/>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operating activities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151,155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28,878</w:t>
            </w:r>
          </w:p>
        </w:tc>
      </w:tr>
      <w:tr>
        <w:trPr>
          <w:trHeight w:val="242"/>
        </w:trPr>
        <w:tc>
          <w:tcPr>
            <w:tcW w:w="820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(107,111)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(42,693)</w:t>
            </w:r>
          </w:p>
        </w:tc>
      </w:tr>
      <w:tr>
        <w:trPr>
          <w:trHeight w:val="25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(5,078)</w:t>
            </w:r>
          </w:p>
        </w:tc>
      </w:tr>
      <w:tr>
        <w:trPr>
          <w:trHeight w:val="24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73"/>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increase (decrease) in cash and cash equivalents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37,997</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(18,893)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23"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Net cash provided by operating activities was $151.2 million for the nine months ended September 30, 2023, primarily consisting of net income of $48.6 million adjusted for certain items, which include $93.8 million of stock-based compensation expense, $15.1 million of bad debt expense, $5.9 million of deferred tax expense, $2.7 million of realized gains on the sale of marketable securities, and $1.6 million of depreciation and amortization. Changes in operating assets and liabilities resulted in cash used in operating activities from increases in accounts receivable of $43.8 million and prepaid expenses and other current assets of $2.5 million, partially offset by cash provided by operating activities from increases in accounts payable of $22.9 million, accrued expenses and other current liabilities of $11.7 million, and other noncurrent assets and liabilities of $0.5 million. These changes were a result of the impact of revenue growth and our operating results as well as new agreements with our pharmacy program partners, which included more favorable payment receipt terms and resulted in an additional receipt in the nine months ended September 30, 2023, and the timing of cash collections and payments to third parties.</w:t>
      </w:r>
    </w:p>
    <w:p>
      <w:pPr>
        <w:spacing w:after="0" w:line="171"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Net cash provided by operating activities was $28.9 million for the nine months ended September 30, 2022, primarily consisting of net income of $27.0 million adjusted for certain non-cash items, which include $71.5 million of stock-based compensation expense, $9.7 million of bad debt expense, $6.7 million of deferred tax benefit, and $1.2 million of depreciation and amortization. Changes in operating assets and liabilities resulted in cash used in operating activities from increases in accounts receivable of $133.2 million and other noncurrent assets and liabilities of $1.2 million, partially offset by cash provided by operating activities from increases in accounts payable of $42.7 million and accrued expenses and other current liabilities of $16.3 million, and a decrease in prepaid expenses and other current assets of $1.7 million. These changes were a result of the impact of revenue growth and our operating results as well as the timing of cash collections and payments to third parties.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23"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Net cash used in investing activities was $107.1 million and $42.7 million for the nine months ended September 30, 2023 and September 30, 2022 respectively, which primarily consisted of net investments in marketable securities of $104.1 million and $40.2 million, respectively. The remainder of the activity for each of the nine months ended September 30, 2023 and September 30, 2022 consisted of purchases of computers, software, including capitalized software development costs, and leasehold improvements.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2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Net cash used in financing activities was $6.0 million for the nine months ended September 30, 2023, consisting of payments of $10.5 million for employee taxes related to equity awards, partially offset by $3.6 million in proceeds from stock option exercises and $0.9 million in proceeds from contributions to our employee stock purchase plan.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Net cash used in financing activities was $5.1 million for the nine months ended September 30, 2022, consisting of payments of $8.0 million for employee taxes related to equity awards, partially offset by $2.1 million in proceeds from stock option exercises and $0.7 million in proceeds from contributions to our employee stock purchase plan..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 Commitments</w:t>
      </w:r>
    </w:p>
    <w:p>
      <w:pPr>
        <w:spacing w:after="0" w:line="22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2"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April 2024 for five years and approximately $1.5 million per year thereafter through the fourth quarter of 2035, the expected expiration date. For the 21,262 square foot office, we will pay the base rent of approximately $1.3 million starting in the fourth quarter of 2025 for five years and approximately $1.4 million per year thereafter through the fourth quarter of 2035, the expected expiration date. For our current 25,212 square foot office, we will pay the base rent of approximately $1.6 million per year beginning in June 2029 through the fourth quarter of 2035, the expected expiration date.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9"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66"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2"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29"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For a full discussion of recently adopted accounting pronouncements, see "Financial Statements (Unaudited)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9" w:lineRule="exact"/>
        <w:rPr>
          <w:sz w:val="20"/>
          <w:szCs w:val="20"/>
          <w:color w:val="auto"/>
        </w:rPr>
      </w:pPr>
    </w:p>
    <w:p>
      <w:pPr>
        <w:ind w:right="20" w:firstLine="627"/>
        <w:spacing w:after="0" w:line="28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16" w:lineRule="exact"/>
        <w:rPr>
          <w:sz w:val="20"/>
          <w:szCs w:val="20"/>
          <w:color w:val="auto"/>
        </w:rPr>
      </w:pPr>
    </w:p>
    <w:p>
      <w:pPr>
        <w:ind w:right="220" w:firstLine="627"/>
        <w:spacing w:after="0" w:line="288" w:lineRule="auto"/>
        <w:rPr>
          <w:sz w:val="20"/>
          <w:szCs w:val="20"/>
          <w:color w:val="auto"/>
        </w:rPr>
      </w:pPr>
      <w:r>
        <w:rPr>
          <w:rFonts w:ascii="Arial" w:cs="Arial" w:eastAsia="Arial" w:hAnsi="Arial"/>
          <w:sz w:val="17"/>
          <w:szCs w:val="17"/>
          <w:color w:val="auto"/>
        </w:rPr>
        <w:t>Interest rate risk is highly sensitive due to many factors, including U.S. monetary and tax policies, U.S. and international economic factors and other factors beyond our control.</w:t>
      </w:r>
    </w:p>
    <w:p>
      <w:pPr>
        <w:spacing w:after="0" w:line="158" w:lineRule="exact"/>
        <w:rPr>
          <w:sz w:val="20"/>
          <w:szCs w:val="20"/>
          <w:color w:val="auto"/>
        </w:rPr>
      </w:pPr>
    </w:p>
    <w:p>
      <w:pPr>
        <w:ind w:firstLine="627"/>
        <w:spacing w:after="0" w:line="252" w:lineRule="auto"/>
        <w:rPr>
          <w:sz w:val="20"/>
          <w:szCs w:val="20"/>
          <w:color w:val="auto"/>
        </w:rPr>
      </w:pPr>
      <w:r>
        <w:rPr>
          <w:rFonts w:ascii="Arial" w:cs="Arial" w:eastAsia="Arial" w:hAnsi="Arial"/>
          <w:sz w:val="17"/>
          <w:szCs w:val="17"/>
          <w:color w:val="auto"/>
        </w:rPr>
        <w:t>At September 30, 2023, we had cash and cash equivalents of $158.1 million and marketable securities of $177.5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 Rate Risk</w:t>
      </w:r>
    </w:p>
    <w:p>
      <w:pPr>
        <w:spacing w:after="0" w:line="229" w:lineRule="exact"/>
        <w:rPr>
          <w:sz w:val="20"/>
          <w:szCs w:val="20"/>
          <w:color w:val="auto"/>
        </w:rPr>
      </w:pPr>
    </w:p>
    <w:p>
      <w:pPr>
        <w:ind w:right="40" w:firstLine="627"/>
        <w:spacing w:after="0" w:line="267" w:lineRule="auto"/>
        <w:rPr>
          <w:sz w:val="20"/>
          <w:szCs w:val="20"/>
          <w:color w:val="auto"/>
        </w:rPr>
      </w:pPr>
      <w:r>
        <w:rPr>
          <w:rFonts w:ascii="Arial" w:cs="Arial" w:eastAsia="Arial" w:hAnsi="Arial"/>
          <w:sz w:val="17"/>
          <w:szCs w:val="17"/>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258" w:right="37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2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The Company maintains disclosure controls and procedures (as that term is defined in Rules 13a-15(e) and 15d-15(e) under the Securities Exchange Act of 1934, as amended, or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9"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There were no changes in our internal control over financial reporting (as that term is defined in Rules 13a-15(f) and 15d-15(f) under the Exchange Act) that occurred during the quarter ended September 30, 2023 that materially affected, or are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Part I, Item 1 “Financial Statements (Unaudited) — Note 6 — Commitments and 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fail to meet our publicly announced guidance or other expectations about our business and future results of operations, which would cause our stock price to decline.</w:t>
      </w:r>
    </w:p>
    <w:p>
      <w:pPr>
        <w:spacing w:after="0" w:line="158" w:lineRule="exact"/>
        <w:rPr>
          <w:sz w:val="20"/>
          <w:szCs w:val="20"/>
          <w:color w:val="auto"/>
        </w:rPr>
      </w:pPr>
    </w:p>
    <w:p>
      <w:pPr>
        <w:jc w:val="both"/>
        <w:ind w:firstLine="627"/>
        <w:spacing w:after="0" w:line="283" w:lineRule="auto"/>
        <w:rPr>
          <w:sz w:val="20"/>
          <w:szCs w:val="20"/>
          <w:color w:val="auto"/>
        </w:rPr>
      </w:pPr>
      <w:r>
        <w:rPr>
          <w:rFonts w:ascii="Arial" w:cs="Arial" w:eastAsia="Arial" w:hAnsi="Arial"/>
          <w:sz w:val="15"/>
          <w:szCs w:val="15"/>
          <w:color w:val="auto"/>
        </w:rPr>
        <w:t>We have provided and may continue to provide guidance about our business and future results of operations. On November 7, 2023, we issued guidance for the fourth quarter of 2023 and full year 2023. This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including but not limited to, our business strategy, plans, goals, expectations concerning our market position, future operations and other financial and operating information, as well as the impact of events outside of our control (such as macroeconomic conditions, the COVID-19 pandemic, or shortages of fertility medications) that are or were at this time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results of operations. Furthermore,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fertility market in which we participate is competitive, and if we do not continue to compete effectively, our results of operations could be harmed.</w:t>
      </w:r>
    </w:p>
    <w:p>
      <w:pPr>
        <w:spacing w:after="0" w:line="246" w:lineRule="exact"/>
        <w:rPr>
          <w:sz w:val="20"/>
          <w:szCs w:val="20"/>
          <w:color w:val="auto"/>
        </w:rPr>
      </w:pPr>
    </w:p>
    <w:p>
      <w:pPr>
        <w:ind w:right="160" w:firstLine="627"/>
        <w:spacing w:after="0" w:line="298" w:lineRule="auto"/>
        <w:rPr>
          <w:sz w:val="20"/>
          <w:szCs w:val="20"/>
          <w:color w:val="auto"/>
        </w:rPr>
      </w:pPr>
      <w:r>
        <w:rPr>
          <w:rFonts w:ascii="Arial" w:cs="Arial" w:eastAsia="Arial" w:hAnsi="Arial"/>
          <w:sz w:val="15"/>
          <w:szCs w:val="15"/>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who are able to provide fertility benefits management services as part of their overall administration of a company's health plan and who are our primary competition. In addition, other competitors include specialty fertility-focused solutions owned or sponsored by the health insurance companies to provide more comprehensive support to fertility patients than their general medical coverage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provides, such as case management or educational support, and the venture capital or private equity-backed companies who focus on maternity and reproductive health services more broadly, or who provide fertility-specific benefits solutions.</w:t>
      </w:r>
    </w:p>
    <w:p>
      <w:pPr>
        <w:spacing w:after="0" w:line="15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5"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76"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conditions in the global economy or our industry could limit our ability to grow our business and negatively affect our results of operations.</w:t>
      </w:r>
    </w:p>
    <w:p>
      <w:pPr>
        <w:spacing w:after="0" w:line="246"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including conditions resulting from changes in gross domestic product growth, financial and credit market fluctuations, inflation, consumer confidence, international trade relations, geopolitical conflict, political turmoil, natural catastrophes, resurgences or outbreaks of contagious diseases or the worsening thereof, including the COVID-19 pandemic, warfare and terrorist attacks on the United States, could cause a decrease in business investments, including spending on employee benefits, and negatively affect the growth of our business.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181"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Unfavorable changes in our industry, including reductions in general healthcare spending, or in the United States economy could have a negative effect on our and our clients’ and potential clients’ results of operations. This could result in the delay or cancellation by certain clients, including if purchases of our solution are perceived by clients and potential clients to be discretionary,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our results of operations. We cannot predict the timing, strength, or duration of any economic slowdown, instability, or recovery, generally or within any particular industry, nor its impact on us or our clients.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90% of our current clients have now launched this solution, including approximately 97% of the clients we signed in 2022.</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Factors that may affect our ability to retain our existing clients and sell additional solutions to them include, but are not limited to, the following:</w:t>
      </w:r>
    </w:p>
    <w:p>
      <w:pPr>
        <w:spacing w:after="0" w:line="234" w:lineRule="exact"/>
        <w:rPr>
          <w:sz w:val="20"/>
          <w:szCs w:val="20"/>
          <w:color w:val="auto"/>
        </w:rPr>
      </w:pPr>
    </w:p>
    <w:p>
      <w:pPr>
        <w:ind w:left="620" w:hanging="30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price, timeliness and outcomes of our solutions;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availability, price, timeliness, outcome, performance and functionality of competing solutions;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maintain and appropriately expand our Center of Excellence network of high-quality fertility specialists;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family building offering;</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healthcare laws, regulations or the enforcement of such laws and regulations, or trends;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material increase in unemployment rate;</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global economic conditions and the business environment of our clients and, in particular, slowing growth or reduction in our clients’ headcount; and</w:t>
      </w:r>
    </w:p>
    <w:p>
      <w:pPr>
        <w:spacing w:after="0" w:line="234" w:lineRule="exact"/>
        <w:rPr>
          <w:rFonts w:ascii="Arial" w:cs="Arial" w:eastAsia="Arial" w:hAnsi="Arial"/>
          <w:sz w:val="16"/>
          <w:szCs w:val="16"/>
          <w:color w:val="auto"/>
        </w:rPr>
      </w:pPr>
    </w:p>
    <w:p>
      <w:pPr>
        <w:ind w:left="620" w:hanging="30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2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2"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We currently serve over 390 employers with at least 1,000 covered lives in the United States across more than 40 industries. For the nine months ended September 30, 2023, one of our clients accounted for 13% of our total revenue. For the nine months ended September 30, 2022, two of our clients accounted for 16% and 10%, or a combined 26%, of our total revenue. No other clients accounted for more than 10% of our total revenue for the nine months ended September 30, 2023 and 2022. 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compromise our growth strategy.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new clients, our business, financial condition and results of operations would be adversely affected.</w:t>
      </w:r>
    </w:p>
    <w:p>
      <w:pPr>
        <w:spacing w:after="0" w:line="223"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and high unemployment rates, reductions in workforce or employee attrition,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70"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13" w:lineRule="exact"/>
        <w:rPr>
          <w:sz w:val="20"/>
          <w:szCs w:val="20"/>
          <w:color w:val="auto"/>
        </w:rPr>
      </w:pPr>
    </w:p>
    <w:p>
      <w:pPr>
        <w:jc w:val="both"/>
        <w:ind w:firstLine="627"/>
        <w:spacing w:after="0" w:line="266" w:lineRule="auto"/>
        <w:rPr>
          <w:sz w:val="20"/>
          <w:szCs w:val="20"/>
          <w:color w:val="auto"/>
        </w:rPr>
      </w:pPr>
      <w:r>
        <w:rPr>
          <w:rFonts w:ascii="Arial" w:cs="Arial" w:eastAsia="Arial" w:hAnsi="Arial"/>
          <w:sz w:val="16"/>
          <w:szCs w:val="16"/>
          <w:color w:val="auto"/>
        </w:rPr>
        <w:t>The COVID-19 pandemic continues to evolve, with pockets of resurgence and the emergence of variant strains contributing to continued uncertainty about its scope, duration, severity, trajectory and lasting impact. The pandemic adversely impacted, and may continue to adversely impact, many aspects of our business. Our revenue growth in past periods, including for the nine months ended September 30, 2022 was negatively impacted by COVID-19, including variants, and our revenue growth in future periods may continue to be adversely impacted by COVID-19. Our providers have delayed and may in the future delay new fertility cycles because they operate in areas acutely affected by the COVID-19 pandemic. Many of our members live in communities that have been acutely affected by the COVID-19 pandemic and have delayed and may not want to continue or begin new fertility cycles during the pandemic, including due to resurgences in and the emergence of variant strains.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69"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In addition to the direct and indirect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172"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In addition,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170" w:lineRule="exact"/>
        <w:rPr>
          <w:sz w:val="20"/>
          <w:szCs w:val="20"/>
          <w:color w:val="auto"/>
        </w:rPr>
      </w:pPr>
    </w:p>
    <w:p>
      <w:pPr>
        <w:jc w:val="both"/>
        <w:ind w:firstLine="627"/>
        <w:spacing w:after="0" w:line="266" w:lineRule="auto"/>
        <w:rPr>
          <w:sz w:val="20"/>
          <w:szCs w:val="20"/>
          <w:color w:val="auto"/>
        </w:rPr>
      </w:pPr>
      <w:r>
        <w:rPr>
          <w:rFonts w:ascii="Arial" w:cs="Arial" w:eastAsia="Arial" w:hAnsi="Arial"/>
          <w:sz w:val="16"/>
          <w:szCs w:val="16"/>
          <w:color w:val="auto"/>
        </w:rPr>
        <w:t>The global impact of COVID-19, due to variants and resurgences of infections, continues to evolve, and we will continue to monitor the situation closely.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There is no guarantee that any future resurgences or future outbreaks of this or any other widespread epidemics or pandemics will not occur, or that the global economy will fully recover, either of which could seriously harm our business.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A significant change in the level or the mix of the utilization of our solutions could have an adverse effect on our business, financial condition and results of operations.</w:t>
      </w:r>
    </w:p>
    <w:p>
      <w:pPr>
        <w:spacing w:after="0" w:line="158"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impacts related to outbreaks and resurgence of contagious diseases and 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85"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with our current platform of solutions, which makes it difficult to predict our future results of operations.</w:t>
      </w:r>
    </w:p>
    <w:p>
      <w:pPr>
        <w:spacing w:after="0" w:line="234"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and may not sustain profitability in the future.</w:t>
      </w:r>
    </w:p>
    <w:p>
      <w:pPr>
        <w:spacing w:after="0" w:line="223"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family building 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58"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7"/>
          <w:szCs w:val="17"/>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or pharmacy benefit management practices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87"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On January 28, 2021, President Biden issued an Executive Order that 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 We cannot predict the timing or impact of any future rulemaking, court decisions or other changes in the law.</w:t>
      </w:r>
    </w:p>
    <w:p>
      <w:pPr>
        <w:spacing w:after="0" w:line="16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health benefits industry may be subject to negative publicity, which could adversely affect our business, financial condition and results of operations.</w:t>
      </w:r>
    </w:p>
    <w:p>
      <w:pPr>
        <w:spacing w:after="0" w:line="246"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r>
        <w:rPr>
          <w:rFonts w:ascii="Arial" w:cs="Arial" w:eastAsia="Arial" w:hAnsi="Arial"/>
          <w:sz w:val="17"/>
          <w:szCs w:val="17"/>
          <w:i w:val="1"/>
          <w:iCs w:val="1"/>
          <w:color w:val="auto"/>
        </w:rPr>
        <w:t>.</w:t>
      </w:r>
    </w:p>
    <w:p>
      <w:pPr>
        <w:spacing w:after="0" w:line="172"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our provider clinics, specialty pharmacies or other vendors have an issue with our or their respective information technology systems, it may result in a disruption to our operations or downstream disruption to our relationships with our clients or our selective network of high-quality fertility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specialists. Additionally, if we choose to in source any of the services currently handled by a third party, it may result in technological or operational disruptions.</w:t>
      </w:r>
    </w:p>
    <w:p>
      <w:pPr>
        <w:spacing w:after="0" w:line="234" w:lineRule="exact"/>
        <w:rPr>
          <w:sz w:val="20"/>
          <w:szCs w:val="20"/>
          <w:color w:val="auto"/>
        </w:rPr>
      </w:pPr>
    </w:p>
    <w:p>
      <w:pPr>
        <w:jc w:val="both"/>
        <w:ind w:firstLine="627"/>
        <w:spacing w:after="0" w:line="276" w:lineRule="auto"/>
        <w:rPr>
          <w:sz w:val="20"/>
          <w:szCs w:val="20"/>
          <w:color w:val="auto"/>
        </w:rPr>
      </w:pPr>
      <w:r>
        <w:rPr>
          <w:rFonts w:ascii="Arial" w:cs="Arial" w:eastAsia="Arial" w:hAnsi="Arial"/>
          <w:sz w:val="16"/>
          <w:szCs w:val="16"/>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information technology system or any updates or upgrades thereto, the current or future information technology systems of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74" w:lineRule="exact"/>
        <w:rPr>
          <w:sz w:val="20"/>
          <w:szCs w:val="20"/>
          <w:color w:val="auto"/>
        </w:rPr>
      </w:pPr>
    </w:p>
    <w:p>
      <w:pPr>
        <w:jc w:val="both"/>
        <w:ind w:firstLine="627"/>
        <w:spacing w:after="0" w:line="276" w:lineRule="auto"/>
        <w:rPr>
          <w:sz w:val="20"/>
          <w:szCs w:val="20"/>
          <w:color w:val="auto"/>
        </w:rPr>
      </w:pPr>
      <w:r>
        <w:rPr>
          <w:rFonts w:ascii="Arial" w:cs="Arial" w:eastAsia="Arial" w:hAnsi="Arial"/>
          <w:sz w:val="16"/>
          <w:szCs w:val="16"/>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We maintain cyber liability insurance however, this insurance may not be sufficient to cover the financial, legal, business or reputational losses that may result from an interruption or breach of our systems.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 -We operate in a highly regulated industry and must comply with a significant number of complex and evolving legal and regulatory requirements- Data Protection and Breaches.”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support, our reputation could suffer.</w:t>
      </w:r>
    </w:p>
    <w:p>
      <w:pPr>
        <w:spacing w:after="0" w:line="22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marketing efforts depend significantly on our ability to receive positive references from our existing clients, channel partners and benefit consultants.</w:t>
      </w:r>
    </w:p>
    <w:p>
      <w:pPr>
        <w:spacing w:after="0" w:line="246" w:lineRule="exact"/>
        <w:rPr>
          <w:sz w:val="20"/>
          <w:szCs w:val="20"/>
          <w:color w:val="auto"/>
        </w:rPr>
      </w:pPr>
    </w:p>
    <w:p>
      <w:pPr>
        <w:ind w:right="420" w:firstLine="627"/>
        <w:spacing w:after="0" w:line="288" w:lineRule="auto"/>
        <w:rPr>
          <w:sz w:val="20"/>
          <w:szCs w:val="20"/>
          <w:color w:val="auto"/>
        </w:rPr>
      </w:pPr>
      <w:r>
        <w:rPr>
          <w:rFonts w:ascii="Arial" w:cs="Arial" w:eastAsia="Arial" w:hAnsi="Arial"/>
          <w:sz w:val="17"/>
          <w:szCs w:val="17"/>
          <w:color w:val="auto"/>
        </w:rPr>
        <w:t>Our marketing efforts depend significantly on our ability to call on our current clients, channel partners and benefit consultants to provide positive references to new, potential clients. Given our limited number of long-term clients,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380"/>
        <w:spacing w:after="0" w:line="272" w:lineRule="auto"/>
        <w:rPr>
          <w:sz w:val="20"/>
          <w:szCs w:val="20"/>
          <w:color w:val="auto"/>
        </w:rPr>
      </w:pPr>
      <w:r>
        <w:rPr>
          <w:rFonts w:ascii="Arial" w:cs="Arial" w:eastAsia="Arial" w:hAnsi="Arial"/>
          <w:sz w:val="17"/>
          <w:szCs w:val="17"/>
          <w:color w:val="auto"/>
        </w:rPr>
        <w:t>the loss or dissatisfaction of any client, channel partnership or benefit consulting relationship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58"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revenue may not grow at the rates they historically have, or at all.</w:t>
      </w:r>
    </w:p>
    <w:p>
      <w:pPr>
        <w:spacing w:after="0" w:line="22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58" w:lineRule="exact"/>
        <w:rPr>
          <w:sz w:val="20"/>
          <w:szCs w:val="20"/>
          <w:color w:val="auto"/>
        </w:rPr>
      </w:pPr>
    </w:p>
    <w:p>
      <w:pPr>
        <w:ind w:left="620" w:hanging="30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to attract new clients and maintain existing clients;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price our solutions and services effectively so that we are able to attract new clients, expand sales to our existing clients and maintain profitability;</w:t>
      </w:r>
    </w:p>
    <w:p>
      <w:pPr>
        <w:spacing w:after="0" w:line="234" w:lineRule="exact"/>
        <w:rPr>
          <w:rFonts w:ascii="Arial" w:cs="Arial" w:eastAsia="Arial" w:hAnsi="Arial"/>
          <w:sz w:val="16"/>
          <w:szCs w:val="16"/>
          <w:color w:val="auto"/>
        </w:rPr>
      </w:pPr>
    </w:p>
    <w:p>
      <w:pPr>
        <w:ind w:left="620" w:hanging="30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our clients and members with client support that meets their needs, including through dedicated PCAs;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 successful collection of member cost shares and other applicable receivable balances directly from members;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retain and maintain relationships with high-quality and respected fertility specialists;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attract and retain highly qualified personnel to support all clients and members;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 satisfactory relationships with insurance carriers;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 awareness of our brand and successfully compete with other companies.</w:t>
      </w:r>
    </w:p>
    <w:p>
      <w:pPr>
        <w:spacing w:after="0" w:line="223" w:lineRule="exact"/>
        <w:rPr>
          <w:sz w:val="20"/>
          <w:szCs w:val="20"/>
          <w:color w:val="auto"/>
        </w:rPr>
      </w:pPr>
    </w:p>
    <w:p>
      <w:pPr>
        <w:ind w:right="120" w:firstLine="627"/>
        <w:spacing w:after="0" w:line="267" w:lineRule="auto"/>
        <w:rPr>
          <w:sz w:val="20"/>
          <w:szCs w:val="20"/>
          <w:color w:val="auto"/>
        </w:rPr>
      </w:pPr>
      <w:r>
        <w:rPr>
          <w:rFonts w:ascii="Arial" w:cs="Arial" w:eastAsia="Arial" w:hAnsi="Arial"/>
          <w:sz w:val="17"/>
          <w:szCs w:val="17"/>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we expect to continue to expend substantial financial and other resources on:</w:t>
      </w:r>
    </w:p>
    <w:p>
      <w:pPr>
        <w:spacing w:after="0" w:line="223" w:lineRule="exact"/>
        <w:rPr>
          <w:sz w:val="20"/>
          <w:szCs w:val="20"/>
          <w:color w:val="auto"/>
        </w:rPr>
      </w:pPr>
    </w:p>
    <w:p>
      <w:pPr>
        <w:ind w:left="620" w:hanging="30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sales and marketing;</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technology infrastructure, including systems architecture, scalability, availability, performance and security;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administration, including increased legal and accounting expenses associated with being a public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76"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If our revenue growth does not meet our expectations in future periods, we may not maintain profitability in the future, our business, financial position and results of operations may be harmed.</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5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72"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81"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 xml:space="preserve">Additionally, in June 2022 the U.S. Supreme Court in </w:t>
      </w:r>
      <w:r>
        <w:rPr>
          <w:rFonts w:ascii="Arial" w:cs="Arial" w:eastAsia="Arial" w:hAnsi="Arial"/>
          <w:sz w:val="17"/>
          <w:szCs w:val="17"/>
          <w:i w:val="1"/>
          <w:iCs w:val="1"/>
          <w:color w:val="auto"/>
        </w:rPr>
        <w:t>Dobbs v. Jackson Women's Health Organization</w:t>
      </w:r>
      <w:r>
        <w:rPr>
          <w:rFonts w:ascii="Arial" w:cs="Arial" w:eastAsia="Arial" w:hAnsi="Arial"/>
          <w:sz w:val="17"/>
          <w:szCs w:val="17"/>
          <w:color w:val="auto"/>
        </w:rPr>
        <w:t xml:space="preserve"> reversed </w:t>
      </w:r>
      <w:r>
        <w:rPr>
          <w:rFonts w:ascii="Arial" w:cs="Arial" w:eastAsia="Arial" w:hAnsi="Arial"/>
          <w:sz w:val="17"/>
          <w:szCs w:val="17"/>
          <w:i w:val="1"/>
          <w:iCs w:val="1"/>
          <w:color w:val="auto"/>
        </w:rPr>
        <w:t>Roe v. Wade</w:t>
      </w:r>
      <w:r>
        <w:rPr>
          <w:rFonts w:ascii="Arial" w:cs="Arial" w:eastAsia="Arial" w:hAnsi="Arial"/>
          <w:sz w:val="17"/>
          <w:szCs w:val="17"/>
          <w:color w:val="auto"/>
        </w:rPr>
        <w:t xml:space="preserv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spacing w:after="0" w:line="185"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7"/>
          <w:szCs w:val="17"/>
          <w:b w:val="1"/>
          <w:bCs w:val="1"/>
          <w:color w:val="auto"/>
        </w:rPr>
        <w:t>.</w:t>
      </w:r>
    </w:p>
    <w:p>
      <w:pPr>
        <w:spacing w:after="0" w:line="15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experiences seasonality, which may cause fluctuations in our sales and results of operations.</w:t>
      </w:r>
    </w:p>
    <w:p>
      <w:pPr>
        <w:spacing w:after="0" w:line="223"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15"/>
          <w:szCs w:val="15"/>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62"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5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58"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b w:val="1"/>
          <w:bCs w:val="1"/>
          <w:i w:val="1"/>
          <w:iCs w:val="1"/>
          <w:color w:val="auto"/>
        </w:rPr>
        <w:t>If we fail to maintain and enhance our brand, our ability to expand our client base will be impaired and our business, financial condition and results of operations may suffer.</w:t>
      </w:r>
    </w:p>
    <w:p>
      <w:pPr>
        <w:spacing w:after="0" w:line="158"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5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spacing w:after="0" w:line="179"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5"/>
          <w:szCs w:val="15"/>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maintain our company culture as we grow, our success and our business and competitive position may be harmed.</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litigation against us could be costly and time-consuming to defend and could harm our business, financial condition and results of operations.</w:t>
      </w:r>
    </w:p>
    <w:p>
      <w:pPr>
        <w:spacing w:after="0" w:line="260" w:lineRule="exact"/>
        <w:rPr>
          <w:sz w:val="20"/>
          <w:szCs w:val="20"/>
          <w:color w:val="auto"/>
        </w:rPr>
      </w:pPr>
    </w:p>
    <w:p>
      <w:pPr>
        <w:jc w:val="both"/>
        <w:ind w:firstLine="627"/>
        <w:spacing w:after="0" w:line="324" w:lineRule="auto"/>
        <w:rPr>
          <w:sz w:val="20"/>
          <w:szCs w:val="20"/>
          <w:color w:val="auto"/>
        </w:rPr>
      </w:pPr>
      <w:r>
        <w:rPr>
          <w:rFonts w:ascii="Arial" w:cs="Arial" w:eastAsia="Arial" w:hAnsi="Arial"/>
          <w:sz w:val="15"/>
          <w:szCs w:val="15"/>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Relationships with Third Parties</w:t>
      </w:r>
    </w:p>
    <w:p>
      <w:pPr>
        <w:spacing w:after="0" w:line="229"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13"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Our success is dependent upon our continued ability to maintain a selective Center of Excellence, our proprietary, credentialed network of high-quality fertility specialists. Fertility specialists and our other network providers could refuse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82" w:lineRule="exact"/>
        <w:rPr>
          <w:sz w:val="20"/>
          <w:szCs w:val="20"/>
          <w:color w:val="auto"/>
        </w:rPr>
      </w:pPr>
    </w:p>
    <w:p>
      <w:pPr>
        <w:jc w:val="both"/>
        <w:ind w:firstLine="627"/>
        <w:spacing w:after="0" w:line="276" w:lineRule="auto"/>
        <w:rPr>
          <w:sz w:val="20"/>
          <w:szCs w:val="20"/>
          <w:color w:val="auto"/>
        </w:rPr>
      </w:pPr>
      <w:r>
        <w:rPr>
          <w:rFonts w:ascii="Arial" w:cs="Arial" w:eastAsia="Arial" w:hAnsi="Arial"/>
          <w:sz w:val="16"/>
          <w:szCs w:val="16"/>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77"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From time to time, our network providers may assert, or threaten to assert, claims seeking to terminate our contractual arrangements. If enough provider agreements were terminated, such terminations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7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substantial additional expenses, expose us to public scrutiny, adversely affect our brand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growth depends in part on the success of our strategic relationships with, and monitoring of, third parties, including channel partners, vendors, as well as insurance carriers.</w:t>
      </w:r>
    </w:p>
    <w:p>
      <w:pPr>
        <w:spacing w:after="0" w:line="158"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6" w:lineRule="exact"/>
        <w:rPr>
          <w:sz w:val="20"/>
          <w:szCs w:val="20"/>
          <w:color w:val="auto"/>
        </w:rPr>
      </w:pPr>
    </w:p>
    <w:p>
      <w:pPr>
        <w:ind w:right="20" w:firstLine="627"/>
        <w:spacing w:after="0" w:line="272" w:lineRule="auto"/>
        <w:rPr>
          <w:sz w:val="20"/>
          <w:szCs w:val="20"/>
          <w:color w:val="auto"/>
        </w:rPr>
      </w:pPr>
      <w:r>
        <w:rPr>
          <w:rFonts w:ascii="Arial" w:cs="Arial" w:eastAsia="Arial" w:hAnsi="Arial"/>
          <w:sz w:val="17"/>
          <w:szCs w:val="17"/>
          <w:color w:val="auto"/>
        </w:rPr>
        <w:t>In addition, our arrangements with these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5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with us, demand higher drug pricing or take other actions that could result in higher medical costs or less attractive services for our members.</w:t>
      </w:r>
    </w:p>
    <w:p>
      <w:pPr>
        <w:spacing w:after="0" w:line="179"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58" w:lineRule="exact"/>
        <w:rPr>
          <w:sz w:val="20"/>
          <w:szCs w:val="20"/>
          <w:color w:val="auto"/>
        </w:rPr>
      </w:pPr>
    </w:p>
    <w:p>
      <w:pPr>
        <w:jc w:val="both"/>
        <w:ind w:firstLine="627"/>
        <w:spacing w:after="0" w:line="302" w:lineRule="auto"/>
        <w:rPr>
          <w:sz w:val="20"/>
          <w:szCs w:val="20"/>
          <w:color w:val="auto"/>
        </w:rPr>
      </w:pPr>
      <w:r>
        <w:rPr>
          <w:rFonts w:ascii="Arial" w:cs="Arial" w:eastAsia="Arial" w:hAnsi="Arial"/>
          <w:sz w:val="15"/>
          <w:szCs w:val="15"/>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marketing efforts depend on our ability to maintain our relationships with benefits consultants.</w:t>
      </w:r>
    </w:p>
    <w:p>
      <w:pPr>
        <w:spacing w:after="0" w:line="223"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the benefits consultants, our marketing efforts, business and profitability would be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credit risk from our members</w:t>
      </w:r>
      <w:r>
        <w:rPr>
          <w:rFonts w:ascii="Arial" w:cs="Arial" w:eastAsia="Arial" w:hAnsi="Arial"/>
          <w:sz w:val="17"/>
          <w:szCs w:val="17"/>
          <w:i w:val="1"/>
          <w:iCs w:val="1"/>
          <w:color w:val="auto"/>
        </w:rPr>
        <w:t>.</w:t>
      </w:r>
    </w:p>
    <w:p>
      <w:pPr>
        <w:spacing w:after="0" w:line="22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regulated industry and must comply with a significant number of complex and evolving legal and regulatory requirements.</w:t>
      </w:r>
    </w:p>
    <w:p>
      <w:pPr>
        <w:spacing w:after="0" w:line="234" w:lineRule="exact"/>
        <w:rPr>
          <w:sz w:val="20"/>
          <w:szCs w:val="20"/>
          <w:color w:val="auto"/>
        </w:rPr>
      </w:pPr>
    </w:p>
    <w:p>
      <w:pPr>
        <w:ind w:right="60" w:firstLine="627"/>
        <w:spacing w:after="0" w:line="276"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77" w:lineRule="exact"/>
        <w:rPr>
          <w:sz w:val="20"/>
          <w:szCs w:val="20"/>
          <w:color w:val="auto"/>
        </w:rPr>
      </w:pPr>
    </w:p>
    <w:p>
      <w:pPr>
        <w:jc w:val="both"/>
        <w:ind w:left="640" w:hanging="322"/>
        <w:spacing w:after="0" w:line="278" w:lineRule="auto"/>
        <w:tabs>
          <w:tab w:leader="none" w:pos="636"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 acting as a third-party administrator, or TPA,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We cannot predict what effect, if any, such statutes, if enacted, may have on our business and financial results.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640"/>
        <w:spacing w:after="0" w:line="279" w:lineRule="auto"/>
        <w:rPr>
          <w:sz w:val="20"/>
          <w:szCs w:val="20"/>
          <w:color w:val="auto"/>
        </w:rPr>
      </w:pPr>
      <w:r>
        <w:rPr>
          <w:rFonts w:ascii="Arial" w:cs="Arial" w:eastAsia="Arial" w:hAnsi="Arial"/>
          <w:sz w:val="16"/>
          <w:szCs w:val="16"/>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71" w:lineRule="exact"/>
        <w:rPr>
          <w:sz w:val="20"/>
          <w:szCs w:val="20"/>
          <w:color w:val="auto"/>
        </w:rPr>
      </w:pPr>
    </w:p>
    <w:p>
      <w:pPr>
        <w:jc w:val="both"/>
        <w:ind w:left="640"/>
        <w:spacing w:after="0" w:line="261" w:lineRule="auto"/>
        <w:rPr>
          <w:sz w:val="20"/>
          <w:szCs w:val="20"/>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 the necessary licensure, which may adversely affect our relationships with our clients and members and cause us to be in breach of our contracts.</w:t>
      </w:r>
    </w:p>
    <w:p>
      <w:pPr>
        <w:spacing w:after="0" w:line="185" w:lineRule="exact"/>
        <w:rPr>
          <w:sz w:val="20"/>
          <w:szCs w:val="20"/>
          <w:color w:val="auto"/>
        </w:rPr>
      </w:pPr>
    </w:p>
    <w:p>
      <w:pPr>
        <w:ind w:left="640" w:right="60" w:hanging="322"/>
        <w:spacing w:after="0" w:line="277" w:lineRule="auto"/>
        <w:tabs>
          <w:tab w:leader="none" w:pos="636"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Regulations promulgated pursuant to HIPAA as amended, and regulations promulgated thereunder,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collectively, HIPAA 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73" w:lineRule="exact"/>
        <w:rPr>
          <w:rFonts w:ascii="Arial" w:cs="Arial" w:eastAsia="Arial" w:hAnsi="Arial"/>
          <w:sz w:val="16"/>
          <w:szCs w:val="16"/>
          <w:b w:val="1"/>
          <w:bCs w:val="1"/>
          <w:i w:val="1"/>
          <w:iCs w:val="1"/>
          <w:color w:val="auto"/>
        </w:rPr>
      </w:pPr>
    </w:p>
    <w:p>
      <w:pPr>
        <w:jc w:val="both"/>
        <w:ind w:left="640"/>
        <w:spacing w:after="0" w:line="296" w:lineRule="auto"/>
        <w:rPr>
          <w:rFonts w:ascii="Arial" w:cs="Arial" w:eastAsia="Arial" w:hAnsi="Arial"/>
          <w:sz w:val="16"/>
          <w:szCs w:val="16"/>
          <w:b w:val="1"/>
          <w:bCs w:val="1"/>
          <w:i w:val="1"/>
          <w:iCs w:val="1"/>
          <w:color w:val="auto"/>
        </w:rPr>
      </w:pPr>
      <w:r>
        <w:rPr>
          <w:rFonts w:ascii="Arial" w:cs="Arial" w:eastAsia="Arial" w:hAnsi="Arial"/>
          <w:sz w:val="15"/>
          <w:szCs w:val="15"/>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58" w:lineRule="exact"/>
        <w:rPr>
          <w:rFonts w:ascii="Arial" w:cs="Arial" w:eastAsia="Arial" w:hAnsi="Arial"/>
          <w:sz w:val="16"/>
          <w:szCs w:val="16"/>
          <w:b w:val="1"/>
          <w:bCs w:val="1"/>
          <w:i w:val="1"/>
          <w:iCs w:val="1"/>
          <w:color w:val="auto"/>
        </w:rPr>
      </w:pPr>
    </w:p>
    <w:p>
      <w:pPr>
        <w:ind w:left="640" w:hanging="322"/>
        <w:spacing w:after="0" w:line="288"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 govern the collection, dissemination,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 to and confidentiality of personal information, some of which may be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640"/>
        <w:spacing w:after="0" w:line="296" w:lineRule="auto"/>
        <w:rPr>
          <w:sz w:val="20"/>
          <w:szCs w:val="20"/>
          <w:color w:val="auto"/>
        </w:rPr>
      </w:pPr>
      <w:r>
        <w:rPr>
          <w:rFonts w:ascii="Arial" w:cs="Arial" w:eastAsia="Arial" w:hAnsi="Arial"/>
          <w:sz w:val="15"/>
          <w:szCs w:val="15"/>
          <w:color w:val="auto"/>
        </w:rPr>
        <w:t>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California Consumer Privacy Act of 2018, or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has increased the likelihood and risks associated with data breach litigation. Further, the California Privacy Rights Act, or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w:t>
      </w:r>
    </w:p>
    <w:p>
      <w:pPr>
        <w:spacing w:after="0" w:line="158" w:lineRule="exact"/>
        <w:rPr>
          <w:sz w:val="20"/>
          <w:szCs w:val="20"/>
          <w:color w:val="auto"/>
        </w:rPr>
      </w:pPr>
    </w:p>
    <w:p>
      <w:pPr>
        <w:jc w:val="both"/>
        <w:ind w:left="640"/>
        <w:spacing w:after="0" w:line="276" w:lineRule="auto"/>
        <w:rPr>
          <w:sz w:val="20"/>
          <w:szCs w:val="20"/>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74" w:lineRule="exact"/>
        <w:rPr>
          <w:sz w:val="20"/>
          <w:szCs w:val="20"/>
          <w:color w:val="auto"/>
        </w:rPr>
      </w:pPr>
    </w:p>
    <w:p>
      <w:pPr>
        <w:jc w:val="both"/>
        <w:ind w:left="640" w:hanging="322"/>
        <w:spacing w:after="0" w:line="280" w:lineRule="auto"/>
        <w:tabs>
          <w:tab w:leader="none" w:pos="636"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Data Protection and Breaches</w:t>
      </w:r>
      <w:r>
        <w:rPr>
          <w:rFonts w:ascii="Arial" w:cs="Arial" w:eastAsia="Arial" w:hAnsi="Arial"/>
          <w:sz w:val="16"/>
          <w:szCs w:val="16"/>
          <w:color w:val="auto"/>
        </w:rPr>
        <w:t>. In recent years, there have been a number of well-publicized data breaches involving the improper dissemination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personal information of individuals both within and outside of the healthcare industry. Laws in all 50 states require businesses to provide notice to clients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70" w:lineRule="exact"/>
        <w:rPr>
          <w:rFonts w:ascii="Arial" w:cs="Arial" w:eastAsia="Arial" w:hAnsi="Arial"/>
          <w:sz w:val="16"/>
          <w:szCs w:val="16"/>
          <w:color w:val="auto"/>
        </w:rPr>
      </w:pPr>
    </w:p>
    <w:p>
      <w:pPr>
        <w:jc w:val="both"/>
        <w:ind w:left="640"/>
        <w:spacing w:after="0" w:line="261" w:lineRule="auto"/>
        <w:rPr>
          <w:rFonts w:ascii="Arial" w:cs="Arial" w:eastAsia="Arial" w:hAnsi="Arial"/>
          <w:sz w:val="16"/>
          <w:szCs w:val="16"/>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640"/>
        <w:spacing w:after="0" w:line="276"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may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77" w:lineRule="exact"/>
        <w:rPr>
          <w:sz w:val="20"/>
          <w:szCs w:val="20"/>
          <w:color w:val="auto"/>
        </w:rPr>
      </w:pPr>
    </w:p>
    <w:p>
      <w:pPr>
        <w:jc w:val="both"/>
        <w:ind w:left="640"/>
        <w:spacing w:after="0" w:line="277" w:lineRule="auto"/>
        <w:rPr>
          <w:sz w:val="20"/>
          <w:szCs w:val="20"/>
          <w:color w:val="auto"/>
        </w:rPr>
      </w:pPr>
      <w:r>
        <w:rPr>
          <w:rFonts w:ascii="Arial" w:cs="Arial" w:eastAsia="Arial" w:hAnsi="Arial"/>
          <w:sz w:val="16"/>
          <w:szCs w:val="16"/>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70" w:lineRule="exact"/>
        <w:rPr>
          <w:sz w:val="20"/>
          <w:szCs w:val="20"/>
          <w:color w:val="auto"/>
        </w:rPr>
      </w:pPr>
    </w:p>
    <w:p>
      <w:pPr>
        <w:jc w:val="both"/>
        <w:ind w:left="640" w:hanging="322"/>
        <w:spacing w:after="0" w:line="279" w:lineRule="auto"/>
        <w:tabs>
          <w:tab w:leader="none" w:pos="636"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 data content standards and provider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0" w:lineRule="exact"/>
        <w:rPr>
          <w:rFonts w:ascii="Arial" w:cs="Arial" w:eastAsia="Arial" w:hAnsi="Arial"/>
          <w:sz w:val="16"/>
          <w:szCs w:val="16"/>
          <w:color w:val="auto"/>
        </w:rPr>
      </w:pPr>
    </w:p>
    <w:p>
      <w:pPr>
        <w:jc w:val="both"/>
        <w:ind w:left="640"/>
        <w:spacing w:after="0" w:line="284" w:lineRule="auto"/>
        <w:rPr>
          <w:rFonts w:ascii="Arial" w:cs="Arial" w:eastAsia="Arial" w:hAnsi="Arial"/>
          <w:sz w:val="16"/>
          <w:szCs w:val="16"/>
          <w:color w:val="auto"/>
        </w:rPr>
      </w:pPr>
      <w:r>
        <w:rPr>
          <w:rFonts w:ascii="Arial" w:cs="Arial" w:eastAsia="Arial" w:hAnsi="Arial"/>
          <w:sz w:val="16"/>
          <w:szCs w:val="16"/>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65" w:lineRule="exact"/>
        <w:rPr>
          <w:rFonts w:ascii="Arial" w:cs="Arial" w:eastAsia="Arial" w:hAnsi="Arial"/>
          <w:sz w:val="16"/>
          <w:szCs w:val="16"/>
          <w:color w:val="auto"/>
        </w:rPr>
      </w:pPr>
    </w:p>
    <w:p>
      <w:pPr>
        <w:jc w:val="both"/>
        <w:ind w:left="640" w:hanging="322"/>
        <w:spacing w:after="0" w:line="272" w:lineRule="auto"/>
        <w:tabs>
          <w:tab w:leader="none" w:pos="636"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Fraud and Abuse Laws</w:t>
      </w:r>
      <w:r>
        <w:rPr>
          <w:rFonts w:ascii="Arial" w:cs="Arial" w:eastAsia="Arial" w:hAnsi="Arial"/>
          <w:sz w:val="17"/>
          <w:szCs w:val="17"/>
          <w:color w:val="auto"/>
        </w:rPr>
        <w:t>. Many of our clients, insurance carriers, and network healthcare providers are impacted directly and indirectly by certain fraud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abuse laws, including the federal Anti-Kickback Statute, the Physician Self-Referral Law, commonly referred to as the Stark Law, and the False Claims Act, as well as their state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640"/>
        <w:spacing w:after="0" w:line="267" w:lineRule="auto"/>
        <w:rPr>
          <w:sz w:val="20"/>
          <w:szCs w:val="20"/>
          <w:color w:val="auto"/>
        </w:rPr>
      </w:pPr>
      <w:r>
        <w:rPr>
          <w:rFonts w:ascii="Arial" w:cs="Arial" w:eastAsia="Arial" w:hAnsi="Arial"/>
          <w:sz w:val="17"/>
          <w:szCs w:val="17"/>
          <w:color w:val="auto"/>
        </w:rPr>
        <w:t>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76" w:lineRule="exact"/>
        <w:rPr>
          <w:sz w:val="20"/>
          <w:szCs w:val="20"/>
          <w:color w:val="auto"/>
        </w:rPr>
      </w:pPr>
    </w:p>
    <w:p>
      <w:pPr>
        <w:jc w:val="both"/>
        <w:ind w:left="640"/>
        <w:spacing w:after="0" w:line="278" w:lineRule="auto"/>
        <w:rPr>
          <w:sz w:val="20"/>
          <w:szCs w:val="20"/>
          <w:color w:val="auto"/>
        </w:rPr>
      </w:pPr>
      <w:r>
        <w:rPr>
          <w:rFonts w:ascii="Arial" w:cs="Arial" w:eastAsia="Arial" w:hAnsi="Arial"/>
          <w:sz w:val="16"/>
          <w:szCs w:val="16"/>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73" w:lineRule="exact"/>
        <w:rPr>
          <w:sz w:val="20"/>
          <w:szCs w:val="20"/>
          <w:color w:val="auto"/>
        </w:rPr>
      </w:pPr>
    </w:p>
    <w:p>
      <w:pPr>
        <w:jc w:val="both"/>
        <w:ind w:left="640" w:hanging="322"/>
        <w:spacing w:after="0" w:line="259"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 Corporate Practice and Fee-Splitting Prohibitions. </w:t>
      </w:r>
      <w:r>
        <w:rPr>
          <w:rFonts w:ascii="Arial" w:cs="Arial" w:eastAsia="Arial" w:hAnsi="Arial"/>
          <w:sz w:val="17"/>
          <w:szCs w:val="17"/>
          <w:color w:val="auto"/>
        </w:rPr>
        <w:t>There is a risk that regulatory authorities in some jurisdictions may find that our contractual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5" w:lineRule="exact"/>
        <w:rPr>
          <w:rFonts w:ascii="Arial" w:cs="Arial" w:eastAsia="Arial" w:hAnsi="Arial"/>
          <w:sz w:val="17"/>
          <w:szCs w:val="17"/>
          <w:color w:val="auto"/>
        </w:rPr>
      </w:pPr>
    </w:p>
    <w:p>
      <w:pPr>
        <w:jc w:val="both"/>
        <w:ind w:left="640" w:hanging="322"/>
        <w:spacing w:after="0" w:line="276" w:lineRule="auto"/>
        <w:tabs>
          <w:tab w:leader="none" w:pos="636"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 certain aspects of employee health plans,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established that ERISA does not preempt all state laws imposing transparency or other requirements on PBMs.</w:t>
      </w:r>
    </w:p>
    <w:p>
      <w:pPr>
        <w:spacing w:after="0" w:line="174"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Prompt Pay Laws</w:t>
      </w:r>
      <w:r>
        <w:rPr>
          <w:rFonts w:ascii="Arial" w:cs="Arial" w:eastAsia="Arial" w:hAnsi="Arial"/>
          <w:sz w:val="17"/>
          <w:szCs w:val="17"/>
          <w:color w:val="auto"/>
        </w:rPr>
        <w:t>. Certain states have laws regulating the amount of time that may elapse from when a third-party payor receives a claim for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rendered to when those services are paid. These “prompt pay” laws may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640"/>
        <w:spacing w:after="0" w:line="302" w:lineRule="auto"/>
        <w:rPr>
          <w:sz w:val="20"/>
          <w:szCs w:val="20"/>
          <w:color w:val="auto"/>
        </w:rPr>
      </w:pPr>
      <w:r>
        <w:rPr>
          <w:rFonts w:ascii="Arial" w:cs="Arial" w:eastAsia="Arial" w:hAnsi="Arial"/>
          <w:sz w:val="15"/>
          <w:szCs w:val="15"/>
          <w:color w:val="auto"/>
        </w:rPr>
        <w:t>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53" w:lineRule="exact"/>
        <w:rPr>
          <w:sz w:val="20"/>
          <w:szCs w:val="20"/>
          <w:color w:val="auto"/>
        </w:rPr>
      </w:pPr>
    </w:p>
    <w:p>
      <w:pPr>
        <w:jc w:val="both"/>
        <w:ind w:left="640" w:hanging="322"/>
        <w:spacing w:after="0" w:line="276"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 maintain a network of healthcare providers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74" w:lineRule="exact"/>
        <w:rPr>
          <w:rFonts w:ascii="Arial" w:cs="Arial" w:eastAsia="Arial" w:hAnsi="Arial"/>
          <w:sz w:val="16"/>
          <w:szCs w:val="16"/>
          <w:color w:val="auto"/>
        </w:rPr>
      </w:pPr>
    </w:p>
    <w:p>
      <w:pPr>
        <w:jc w:val="both"/>
        <w:ind w:left="640" w:hanging="322"/>
        <w:spacing w:after="0" w:line="261"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 the Federal Trade Commission, or FTC,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1" w:lineRule="exact"/>
        <w:rPr>
          <w:rFonts w:ascii="Arial" w:cs="Arial" w:eastAsia="Arial" w:hAnsi="Arial"/>
          <w:sz w:val="17"/>
          <w:szCs w:val="17"/>
          <w:color w:val="auto"/>
        </w:rPr>
      </w:pPr>
    </w:p>
    <w:p>
      <w:pPr>
        <w:jc w:val="both"/>
        <w:ind w:left="640" w:hanging="322"/>
        <w:spacing w:after="0" w:line="284"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Restrictions on Communication</w:t>
      </w:r>
      <w:r>
        <w:rPr>
          <w:rFonts w:ascii="Arial" w:cs="Arial" w:eastAsia="Arial" w:hAnsi="Arial"/>
          <w:sz w:val="16"/>
          <w:szCs w:val="16"/>
          <w:color w:val="auto"/>
        </w:rPr>
        <w:t>. Communications with our members increasingly may be subject to and restricted by laws and regulations governing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8"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aspects of the ACA. On June 17, 2021, the U.S. Supreme Court dismissed the most recent judicial challenge to the ACA brought by several states without specifically ruling on the constitutionality of the ACA.</w:t>
      </w:r>
    </w:p>
    <w:p>
      <w:pPr>
        <w:spacing w:after="0" w:line="158"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Biden signed the Inflation Reduction Act of 2022 or IRA into law. The health reform measures included in the IRA largely focus on pharmaceutical manufacturers, but are likely to impact the reimbursement and drug pricing environment for healthcare providers and insurers more broadly, in ways that cannot yet be fully determined.</w:t>
      </w:r>
    </w:p>
    <w:p>
      <w:pPr>
        <w:spacing w:after="0" w:line="170"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w:t>
      </w:r>
    </w:p>
    <w:p>
      <w:pPr>
        <w:spacing w:after="0" w:line="170"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7"/>
          <w:szCs w:val="17"/>
          <w:color w:val="auto"/>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89"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results of operations could be materially adversely affected.</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72"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as well as the recently enacted IRA, and other federal and state efforts to reform or revise aspects of the healthcare industry or to revise 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62"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In June 2022, the Federal Trade Commission announced an inquiry regarding the role of PBMs and stated its intent to closely scrutinize the impact of PBM rebates and fees on patients and payers.</w:t>
      </w:r>
    </w:p>
    <w:p>
      <w:pPr>
        <w:spacing w:after="0" w:line="171"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 xml:space="preserve">Further, the U.S. Supreme Court’s decision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For example, effective June 1, 2022 New York enacted a law that establishes regulatory oversight of PBMs.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w:t>
      </w:r>
    </w:p>
    <w:p>
      <w:pPr>
        <w:spacing w:after="0" w:line="170"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70"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Accordingly, it is reasonably possible that our business operations and our results of operations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our ability to standardize its Progyny Rx PBM products and services across state lines. Further, our failure to comply with these laws or regulations could result in material fines and/or sanctions and could have a material adverse effect on our results of operations and/or cash flows.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8"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2"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potential sales to government entities are subject to a number of challenges and risks.</w:t>
      </w:r>
    </w:p>
    <w:p>
      <w:pPr>
        <w:spacing w:after="0" w:line="223"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7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protect our intellectual property rights could impair our ability to protect our proprietary technology and our brand.</w:t>
      </w:r>
    </w:p>
    <w:p>
      <w:pPr>
        <w:spacing w:after="0" w:line="223"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85"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58"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5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9"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7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35" w:lineRule="exact"/>
        <w:rPr>
          <w:sz w:val="20"/>
          <w:szCs w:val="20"/>
          <w:color w:val="auto"/>
        </w:rPr>
      </w:pPr>
    </w:p>
    <w:p>
      <w:pPr>
        <w:jc w:val="both"/>
        <w:ind w:firstLine="627"/>
        <w:spacing w:after="0" w:line="276"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 or tax liabilities may have an adverse effect on our results of operations.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effective tax rate could be impacted due to several factors, including, but not limited to:</w:t>
      </w:r>
    </w:p>
    <w:p>
      <w:pPr>
        <w:spacing w:after="0" w:line="210" w:lineRule="exact"/>
        <w:rPr>
          <w:sz w:val="20"/>
          <w:szCs w:val="20"/>
          <w:color w:val="auto"/>
        </w:rPr>
      </w:pPr>
    </w:p>
    <w:p>
      <w:pPr>
        <w:ind w:left="620" w:hanging="30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the relative amounts of income before taxes in the various jurisdictions in which we operate that have differing statutory tax rates;</w:t>
      </w:r>
    </w:p>
    <w:p>
      <w:pPr>
        <w:spacing w:after="0" w:line="209" w:lineRule="exact"/>
        <w:rPr>
          <w:rFonts w:ascii="Arial" w:cs="Arial" w:eastAsia="Arial" w:hAnsi="Arial"/>
          <w:sz w:val="17"/>
          <w:szCs w:val="17"/>
          <w:color w:val="auto"/>
        </w:rPr>
      </w:pPr>
    </w:p>
    <w:p>
      <w:pPr>
        <w:jc w:val="both"/>
        <w:ind w:left="640" w:hanging="322"/>
        <w:spacing w:after="0" w:line="248" w:lineRule="auto"/>
        <w:tabs>
          <w:tab w:leader="none" w:pos="6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tax laws, tax treaties, and regulations or the interpretation of them (such as the recent Inflation Reduction Act which, among other changes, introduced a 15% corporate minimum tax on certain United States corporations and a 1% excise tax on certain stock redemptions by United States corporations);</w:t>
      </w:r>
    </w:p>
    <w:p>
      <w:pPr>
        <w:spacing w:after="0" w:line="19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outcome of future tax audits, examinations, or administrative appeals;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limitations or adverse findings regarding our ability to do business in some jurisdictions;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discrete impact tax items, including such items resulting from the amount and timing of equity exercises and our share price.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of these developments could have an adverse effect on our results of operations.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Certain U.S. state tax authorities may assert that we have a state nexus and seek to impose state and local taxes which could adversely affect our results of operations.</w:t>
      </w:r>
    </w:p>
    <w:p>
      <w:pPr>
        <w:spacing w:after="0" w:line="15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or research tax credit carryforwards, which could adversely affect our profitability.</w:t>
      </w:r>
    </w:p>
    <w:p>
      <w:pPr>
        <w:spacing w:after="0" w:line="158"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23"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We adopted ASC No. 2021-04, </w:t>
      </w:r>
      <w:r>
        <w:rPr>
          <w:rFonts w:ascii="Arial" w:cs="Arial" w:eastAsia="Arial" w:hAnsi="Arial"/>
          <w:sz w:val="17"/>
          <w:szCs w:val="17"/>
          <w:i w:val="1"/>
          <w:iCs w:val="1"/>
          <w:color w:val="auto"/>
        </w:rPr>
        <w:t>Earnings Per Share (Topic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Debt-Modifications and Extinguishments (Subtopic 470-50), Compensation- Stock Compensation (Topic 718), and Derivatives and Hedging-Contracts in Entity’s Own Equity (Subtopic 815- 40) </w:t>
      </w:r>
      <w:r>
        <w:rPr>
          <w:rFonts w:ascii="Arial" w:cs="Arial" w:eastAsia="Arial" w:hAnsi="Arial"/>
          <w:sz w:val="17"/>
          <w:szCs w:val="17"/>
          <w:color w:val="auto"/>
        </w:rPr>
        <w:t>as of January 1, 2022. This accounting pronouncement did not have a material impact on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See Note 2 – Significant Accounting Policies included in Part I, Item 1 of this Quarterly Report on Form 10-Q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46"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the value of our common stock may decline.</w:t>
      </w:r>
    </w:p>
    <w:p>
      <w:pPr>
        <w:spacing w:after="0" w:line="22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72" w:lineRule="exact"/>
        <w:rPr>
          <w:sz w:val="20"/>
          <w:szCs w:val="20"/>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high volume of direct sales into the market by large investors;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or results of operations;</w:t>
      </w:r>
    </w:p>
    <w:p>
      <w:pPr>
        <w:spacing w:after="0" w:line="222"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publications of research or other reports about us or our industry, including those which may contain inaccurate or misleading information, financial estimates about us, changes in recommendations or withdrawal of research coverage by securities analysts;</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pricing of our solutions and services;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our projected operating and financial results;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 and solutions;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significant data breaches of our company, providers, vendors or pharmacies;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involvement in litigation or threats of litigation against us;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future sales of our common stock by us or our stockholders;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senior management or key personnel;</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trading volume of our common stock;</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war, incidents of terrorism, or responses to these events;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anticipated future size and growth rate of our market.</w:t>
      </w:r>
    </w:p>
    <w:p>
      <w:pPr>
        <w:spacing w:after="0" w:line="22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w:t>
      </w:r>
    </w:p>
    <w:p>
      <w:pPr>
        <w:spacing w:after="0" w:line="22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capital to continue to fund operations by selling shares and may impair our ability to acquire other companies or technologies by using our shares as consideration.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5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72" w:lineRule="exact"/>
        <w:rPr>
          <w:sz w:val="20"/>
          <w:szCs w:val="20"/>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demand for or pricing of our solutions;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and mix of utilization of our solutions by members;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attract new clients;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retain our existing clients;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client expansion rates;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clients’ budgets and in the timing of their budget cycles and purchasing decisions;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control costs, including our operating expenses and healthcare costs;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sales and marketing expenses;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and timing of non-cash expenses, including stock-based compensation expense, goodwill impairments and other non-cash charges;</w:t>
      </w:r>
    </w:p>
    <w:p>
      <w:pPr>
        <w:spacing w:after="0" w:line="234" w:lineRule="exact"/>
        <w:rPr>
          <w:rFonts w:ascii="Arial" w:cs="Arial" w:eastAsia="Arial" w:hAnsi="Arial"/>
          <w:sz w:val="16"/>
          <w:szCs w:val="16"/>
          <w:color w:val="auto"/>
        </w:rPr>
      </w:pPr>
    </w:p>
    <w:p>
      <w:pPr>
        <w:ind w:left="620" w:hanging="302"/>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and motivating existing employees;</w:t>
      </w:r>
    </w:p>
    <w:p>
      <w:pPr>
        <w:spacing w:after="0" w:line="234"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general economic conditions, as well as economic conditions specifically affecting industries in which our clients participate, including those related to the COVID-19 pandemic;</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impact of new accounting pronouncements;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significant security breaches of, technical difficulties with, or interruptions to, the delivery and use of our solutions and services.</w:t>
      </w:r>
    </w:p>
    <w:p>
      <w:pPr>
        <w:spacing w:after="0" w:line="223"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Any of these and other factors, or the cumulative effect of some of these factors, may cause our results of operations to vary significantly. For example, the long-term impact of the COVID-19 pandemic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6"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w:t>
      </w:r>
    </w:p>
    <w:p>
      <w:pPr>
        <w:spacing w:after="0" w:line="172"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We are required, pursuant to Section 404 of the Sarbanes-Oxley Act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76"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in the public market could cause the market price of our common stock to decline.</w:t>
      </w:r>
    </w:p>
    <w:p>
      <w:pPr>
        <w:spacing w:after="0" w:line="22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5" w:lineRule="exact"/>
        <w:rPr>
          <w:sz w:val="20"/>
          <w:szCs w:val="20"/>
          <w:color w:val="auto"/>
        </w:rPr>
      </w:pPr>
    </w:p>
    <w:p>
      <w:pPr>
        <w:ind w:right="140" w:firstLine="627"/>
        <w:spacing w:after="0" w:line="248" w:lineRule="auto"/>
        <w:rPr>
          <w:sz w:val="20"/>
          <w:szCs w:val="20"/>
          <w:color w:val="auto"/>
        </w:rPr>
      </w:pPr>
      <w:r>
        <w:rPr>
          <w:rFonts w:ascii="Arial" w:cs="Arial" w:eastAsia="Arial" w:hAnsi="Arial"/>
          <w:sz w:val="17"/>
          <w:szCs w:val="17"/>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7"/>
          <w:szCs w:val="17"/>
          <w:i w:val="1"/>
          <w:iCs w:val="1"/>
          <w:color w:val="auto"/>
        </w:rPr>
        <w:t>.</w:t>
      </w:r>
    </w:p>
    <w:p>
      <w:pPr>
        <w:spacing w:after="0" w:line="15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58"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The market price and trading volume of our common stock will be heavily influenced by the way analysts interpret our financial information and other disclosures. We do not have control over these analysts. If securities analysts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and the trading volume of our common stock could decrease.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incur as a public company or the specific timing of such costs.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72" w:lineRule="exact"/>
        <w:rPr>
          <w:sz w:val="20"/>
          <w:szCs w:val="20"/>
          <w:color w:val="auto"/>
        </w:rPr>
      </w:pPr>
    </w:p>
    <w:p>
      <w:pPr>
        <w:ind w:left="640" w:hanging="322"/>
        <w:spacing w:after="0" w:line="28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22" w:lineRule="exact"/>
        <w:rPr>
          <w:rFonts w:ascii="Arial" w:cs="Arial" w:eastAsia="Arial" w:hAnsi="Arial"/>
          <w:sz w:val="17"/>
          <w:szCs w:val="17"/>
          <w:color w:val="auto"/>
        </w:rPr>
      </w:pPr>
    </w:p>
    <w:p>
      <w:pPr>
        <w:ind w:left="640" w:right="200" w:hanging="322"/>
        <w:spacing w:after="0" w:line="28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the chairperson of our Board of Directors, or our chief executive officer;</w:t>
      </w:r>
    </w:p>
    <w:p>
      <w:pPr>
        <w:spacing w:after="0" w:line="15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pacing w:after="0" w:line="158"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with each class serving three-year staggered terms;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prohibit cumulative voting in the election of directors;</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and 2/3% of our outstanding shares of voting stock;</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 and</w:t>
      </w:r>
    </w:p>
    <w:p>
      <w:pPr>
        <w:spacing w:after="0" w:line="234"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 and 2/3% of our outstanding shares of voting stock to amend our amended and restated bylaws and certain provisions of our amended and restated certificate of incorporation.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53" w:lineRule="exact"/>
        <w:rPr>
          <w:sz w:val="20"/>
          <w:szCs w:val="20"/>
          <w:color w:val="auto"/>
        </w:rPr>
      </w:pPr>
    </w:p>
    <w:p>
      <w:pPr>
        <w:jc w:val="both"/>
        <w:ind w:firstLine="627"/>
        <w:spacing w:after="0" w:line="276"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77" w:lineRule="exact"/>
        <w:rPr>
          <w:sz w:val="20"/>
          <w:szCs w:val="20"/>
          <w:color w:val="auto"/>
        </w:rPr>
      </w:pPr>
    </w:p>
    <w:p>
      <w:pPr>
        <w:ind w:right="80" w:firstLine="627"/>
        <w:spacing w:after="0" w:line="263"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Unstable market and economic conditions may impact our ability to obtain any necessary financing and adversely impact our business, financial condition and share price.</w:t>
      </w:r>
    </w:p>
    <w:p>
      <w:pPr>
        <w:spacing w:after="0" w:line="158" w:lineRule="exact"/>
        <w:rPr>
          <w:sz w:val="20"/>
          <w:szCs w:val="20"/>
          <w:color w:val="auto"/>
        </w:rPr>
      </w:pPr>
    </w:p>
    <w:p>
      <w:pPr>
        <w:ind w:firstLine="627"/>
        <w:spacing w:after="0" w:line="267" w:lineRule="auto"/>
        <w:rPr>
          <w:sz w:val="20"/>
          <w:szCs w:val="20"/>
          <w:color w:val="auto"/>
        </w:rPr>
      </w:pPr>
      <w:r>
        <w:rPr>
          <w:rFonts w:ascii="Arial" w:cs="Arial" w:eastAsia="Arial" w:hAnsi="Arial"/>
          <w:sz w:val="17"/>
          <w:szCs w:val="17"/>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Increased scrutiny and changing expectations from the SEC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72"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Companies across all industries are facing increasing scrutiny related to their environmental, social and governance, or ESG practices and reporting. The SEC and investors have focused increasingly on ESG practices and placed increasing importance on the implications and social cost of ESG reporting. With this increased focus and demand, public reporting regarding ESG practices is becoming more broadly expected. Expectations regarding voluntary ESG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initiatives and disclosures may result in increased costs, changes in demand for certain offerings, enhanced compliance or disclosure obligations, or other adverse impacts to our business, financial condition or results of operations. We may provide information in this Quarterly Report on Form 10-Q or our other filings with the SEC that are informed by various ESG standards and frameworks (including standards for the measurement of underlying data) and the interest of various stakeholders. Much of this information is subject to assumptions, estimates or third-party information that is still evolving and subject to change, and our disclosures based on any standards may change due to revisions in framework requirements, availability of information, changes in our business or applicable government policies, or other factors, some of which may be beyond our control. If our ESG practices and reporting do not meet or are viewed as not meeting SEC, investor or other industry or stakeholder expectations, which continue to evolve, our brand, reputation and investor retention may be negatively impacted. It is possible that stakeholders may not be satisfied with our ESG practices or the speed of their adoption. We could also incur additional costs and require additional resources to monitor, report, implement, enhance and comply with various ESG practices and standards. Also, our failure, or perceived failure to meet the standards included in any ESG disclosure could negatively impact our reputation, employee recruiting and retention, and the willingness of our customers and suppliers to do business with us.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22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Settlement of Equity Awards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restricted stock units are subject to vesting and the underlying shares of common stock are issued when the restricted stock units vest.</w:t>
      </w:r>
    </w:p>
    <w:p>
      <w:pPr>
        <w:spacing w:after="0" w:line="223" w:lineRule="exact"/>
        <w:rPr>
          <w:sz w:val="20"/>
          <w:szCs w:val="20"/>
          <w:color w:val="auto"/>
        </w:rPr>
      </w:pPr>
    </w:p>
    <w:p>
      <w:pPr>
        <w:jc w:val="both"/>
        <w:ind w:right="20" w:firstLine="627"/>
        <w:spacing w:after="0" w:line="288" w:lineRule="auto"/>
        <w:rPr>
          <w:sz w:val="20"/>
          <w:szCs w:val="20"/>
          <w:color w:val="auto"/>
        </w:rPr>
      </w:pPr>
      <w:r>
        <w:rPr>
          <w:rFonts w:ascii="Arial" w:cs="Arial" w:eastAsia="Arial" w:hAnsi="Arial"/>
          <w:sz w:val="17"/>
          <w:szCs w:val="17"/>
          <w:color w:val="auto"/>
        </w:rPr>
        <w:t>In the third quarter of 2023, we withheld shares through net settlements (where the award holder receives the net of the shares vested, after surrendering a portion of the shares back to the Company for tax withholding) for certain restricted stock units that vested.</w:t>
      </w:r>
    </w:p>
    <w:p>
      <w:pPr>
        <w:spacing w:after="0" w:line="158" w:lineRule="exact"/>
        <w:rPr>
          <w:sz w:val="20"/>
          <w:szCs w:val="20"/>
          <w:color w:val="auto"/>
        </w:rPr>
      </w:pPr>
    </w:p>
    <w:p>
      <w:pPr>
        <w:ind w:right="120" w:firstLine="627"/>
        <w:spacing w:after="0" w:line="288" w:lineRule="auto"/>
        <w:rPr>
          <w:sz w:val="20"/>
          <w:szCs w:val="20"/>
          <w:color w:val="auto"/>
        </w:rPr>
      </w:pPr>
      <w:r>
        <w:rPr>
          <w:rFonts w:ascii="Arial" w:cs="Arial" w:eastAsia="Arial" w:hAnsi="Arial"/>
          <w:sz w:val="17"/>
          <w:szCs w:val="17"/>
          <w:color w:val="auto"/>
        </w:rPr>
        <w:t>The following table provides a summary of shares surrendered back to the Company for tax withholding on restricted stock units that vested under our equity incentive plans in the three months ended September 30,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 Number of Shares</w:t>
            </w:r>
          </w:p>
        </w:tc>
        <w:tc>
          <w:tcPr>
            <w:tcW w:w="14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Maximum Dollar</w:t>
            </w:r>
          </w:p>
        </w:tc>
      </w:tr>
      <w:tr>
        <w:trPr>
          <w:trHeight w:val="157"/>
        </w:trPr>
        <w:tc>
          <w:tcPr>
            <w:tcW w:w="4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89"/>
              </w:rPr>
              <w:t>Purchased as Part of</w:t>
            </w:r>
          </w:p>
        </w:tc>
        <w:tc>
          <w:tcPr>
            <w:tcW w:w="14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0"/>
              </w:rPr>
              <w:t>Amount of Shares That</w:t>
            </w:r>
          </w:p>
        </w:tc>
      </w:tr>
      <w:tr>
        <w:trPr>
          <w:trHeight w:val="154"/>
        </w:trPr>
        <w:tc>
          <w:tcPr>
            <w:tcW w:w="4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3"/>
                <w:szCs w:val="13"/>
                <w:color w:val="auto"/>
              </w:rPr>
            </w:pPr>
          </w:p>
        </w:tc>
        <w:tc>
          <w:tcPr>
            <w:tcW w:w="156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0"/>
              </w:rPr>
              <w:t>Average Price Paid per</w:t>
            </w:r>
          </w:p>
        </w:tc>
        <w:tc>
          <w:tcPr>
            <w:tcW w:w="156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89"/>
              </w:rPr>
              <w:t>Publicly Announced</w:t>
            </w:r>
          </w:p>
        </w:tc>
        <w:tc>
          <w:tcPr>
            <w:tcW w:w="148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89"/>
              </w:rPr>
              <w:t>May Yet Be Purchased</w:t>
            </w:r>
          </w:p>
        </w:tc>
      </w:tr>
      <w:tr>
        <w:trPr>
          <w:trHeight w:val="221"/>
        </w:trPr>
        <w:tc>
          <w:tcPr>
            <w:tcW w:w="5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right"/>
              <w:ind w:right="199"/>
              <w:spacing w:after="0"/>
              <w:rPr>
                <w:sz w:val="20"/>
                <w:szCs w:val="20"/>
                <w:color w:val="auto"/>
              </w:rPr>
            </w:pPr>
            <w:r>
              <w:rPr>
                <w:rFonts w:ascii="Arial" w:cs="Arial" w:eastAsia="Arial" w:hAnsi="Arial"/>
                <w:sz w:val="14"/>
                <w:szCs w:val="14"/>
                <w:b w:val="1"/>
                <w:bCs w:val="1"/>
                <w:color w:val="auto"/>
              </w:rPr>
              <w:t xml:space="preserve">Repurchased </w:t>
            </w:r>
            <w:r>
              <w:rPr>
                <w:rFonts w:ascii="Arial" w:cs="Arial" w:eastAsia="Arial" w:hAnsi="Arial"/>
                <w:sz w:val="18"/>
                <w:szCs w:val="18"/>
                <w:b w:val="1"/>
                <w:bCs w:val="1"/>
                <w:color w:val="auto"/>
                <w:vertAlign w:val="superscript"/>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Share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Plans or Programs</w:t>
            </w:r>
          </w:p>
        </w:tc>
        <w:tc>
          <w:tcPr>
            <w:tcW w:w="14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Under the Program</w:t>
            </w:r>
          </w:p>
        </w:tc>
      </w:tr>
      <w:tr>
        <w:trPr>
          <w:trHeight w:val="241"/>
        </w:trPr>
        <w:tc>
          <w:tcPr>
            <w:tcW w:w="4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4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1, 2023 through July 31,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18,165</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39.24</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r>
      <w:tr>
        <w:trPr>
          <w:trHeight w:val="242"/>
        </w:trPr>
        <w:tc>
          <w:tcPr>
            <w:tcW w:w="5060" w:type="dxa"/>
            <w:vAlign w:val="bottom"/>
            <w:gridSpan w:val="2"/>
          </w:tcPr>
          <w:p>
            <w:pPr>
              <w:ind w:left="20"/>
              <w:spacing w:after="0"/>
              <w:rPr>
                <w:sz w:val="20"/>
                <w:szCs w:val="20"/>
                <w:color w:val="auto"/>
              </w:rPr>
            </w:pPr>
            <w:r>
              <w:rPr>
                <w:rFonts w:ascii="Arial" w:cs="Arial" w:eastAsia="Arial" w:hAnsi="Arial"/>
                <w:sz w:val="17"/>
                <w:szCs w:val="17"/>
                <w:color w:val="auto"/>
              </w:rPr>
              <w:t>August 1, 2023 through August 30, 2023</w:t>
            </w:r>
          </w:p>
        </w:tc>
        <w:tc>
          <w:tcPr>
            <w:tcW w:w="1480" w:type="dxa"/>
            <w:vAlign w:val="bottom"/>
          </w:tcPr>
          <w:p>
            <w:pPr>
              <w:jc w:val="right"/>
              <w:spacing w:after="0"/>
              <w:rPr>
                <w:sz w:val="20"/>
                <w:szCs w:val="20"/>
                <w:color w:val="auto"/>
              </w:rPr>
            </w:pPr>
            <w:r>
              <w:rPr>
                <w:rFonts w:ascii="Arial" w:cs="Arial" w:eastAsia="Arial" w:hAnsi="Arial"/>
                <w:sz w:val="17"/>
                <w:szCs w:val="17"/>
                <w:color w:val="auto"/>
              </w:rPr>
              <w:t>30,438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39.59</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ind w:left="1140"/>
              <w:spacing w:after="0"/>
              <w:rPr>
                <w:sz w:val="20"/>
                <w:szCs w:val="20"/>
                <w:color w:val="auto"/>
              </w:rPr>
            </w:pPr>
            <w:r>
              <w:rPr>
                <w:rFonts w:ascii="Arial" w:cs="Arial" w:eastAsia="Arial" w:hAnsi="Arial"/>
                <w:sz w:val="17"/>
                <w:szCs w:val="17"/>
                <w:color w:val="auto"/>
              </w:rPr>
              <w:t>—</w:t>
            </w:r>
          </w:p>
        </w:tc>
      </w:tr>
      <w:tr>
        <w:trPr>
          <w:trHeight w:val="24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1, 2023 through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36.38</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r>
      <w:tr>
        <w:trPr>
          <w:trHeight w:val="248"/>
        </w:trPr>
        <w:tc>
          <w:tcPr>
            <w:tcW w:w="5060" w:type="dxa"/>
            <w:vAlign w:val="bottom"/>
            <w:gridSpan w:val="2"/>
          </w:tcPr>
          <w:p>
            <w:pPr>
              <w:ind w:left="80"/>
              <w:spacing w:after="0"/>
              <w:rPr>
                <w:sz w:val="20"/>
                <w:szCs w:val="20"/>
                <w:color w:val="auto"/>
              </w:rPr>
            </w:pPr>
            <w:r>
              <w:rPr>
                <w:rFonts w:ascii="Arial" w:cs="Arial" w:eastAsia="Arial" w:hAnsi="Arial"/>
                <w:sz w:val="17"/>
                <w:szCs w:val="17"/>
                <w:color w:val="auto"/>
              </w:rPr>
              <w:t>Total shares repurchased</w:t>
            </w:r>
          </w:p>
        </w:tc>
        <w:tc>
          <w:tcPr>
            <w:tcW w:w="1480" w:type="dxa"/>
            <w:vAlign w:val="bottom"/>
          </w:tcPr>
          <w:p>
            <w:pPr>
              <w:jc w:val="right"/>
              <w:spacing w:after="0"/>
              <w:rPr>
                <w:sz w:val="20"/>
                <w:szCs w:val="20"/>
                <w:color w:val="auto"/>
              </w:rPr>
            </w:pPr>
            <w:r>
              <w:rPr>
                <w:rFonts w:ascii="Arial" w:cs="Arial" w:eastAsia="Arial" w:hAnsi="Arial"/>
                <w:sz w:val="17"/>
                <w:szCs w:val="17"/>
                <w:color w:val="auto"/>
              </w:rPr>
              <w:t>60,890</w:t>
            </w:r>
          </w:p>
        </w:tc>
        <w:tc>
          <w:tcPr>
            <w:tcW w:w="420" w:type="dxa"/>
            <w:vAlign w:val="bottom"/>
            <w:gridSpan w:val="2"/>
          </w:tcPr>
          <w:p>
            <w:pPr>
              <w:jc w:val="right"/>
              <w:ind w:right="15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38.84</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ind w:left="1140"/>
              <w:spacing w:after="0"/>
              <w:rPr>
                <w:sz w:val="20"/>
                <w:szCs w:val="20"/>
                <w:color w:val="auto"/>
              </w:rPr>
            </w:pPr>
            <w:r>
              <w:rPr>
                <w:rFonts w:ascii="Arial" w:cs="Arial" w:eastAsia="Arial" w:hAnsi="Arial"/>
                <w:sz w:val="17"/>
                <w:szCs w:val="17"/>
                <w:color w:val="auto"/>
              </w:rPr>
              <w:t>—</w:t>
            </w: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140" w:hanging="135"/>
        <w:spacing w:after="0"/>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3"/>
          <w:szCs w:val="13"/>
          <w:color w:val="auto"/>
        </w:rPr>
        <w:t>Represents shares withheld on net settlements of restricted stock units that vested under our equity incentive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9" w:lineRule="exact"/>
        <w:rPr>
          <w:sz w:val="20"/>
          <w:szCs w:val="20"/>
          <w:color w:val="auto"/>
        </w:rPr>
      </w:pPr>
    </w:p>
    <w:p>
      <w:pPr>
        <w:ind w:left="1240" w:hanging="295"/>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None.</w:t>
      </w:r>
    </w:p>
    <w:p>
      <w:pPr>
        <w:spacing w:after="0" w:line="222" w:lineRule="exact"/>
        <w:rPr>
          <w:rFonts w:ascii="Arial" w:cs="Arial" w:eastAsia="Arial" w:hAnsi="Arial"/>
          <w:sz w:val="17"/>
          <w:szCs w:val="17"/>
          <w:color w:val="auto"/>
        </w:rPr>
      </w:pPr>
    </w:p>
    <w:p>
      <w:pPr>
        <w:ind w:left="1260" w:hanging="3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None.</w:t>
      </w:r>
    </w:p>
    <w:p>
      <w:pPr>
        <w:spacing w:after="0" w:line="222" w:lineRule="exact"/>
        <w:rPr>
          <w:rFonts w:ascii="Arial" w:cs="Arial" w:eastAsia="Arial" w:hAnsi="Arial"/>
          <w:sz w:val="17"/>
          <w:szCs w:val="17"/>
          <w:color w:val="auto"/>
        </w:rPr>
      </w:pPr>
    </w:p>
    <w:p>
      <w:pPr>
        <w:ind w:left="1260" w:hanging="315"/>
        <w:spacing w:after="0" w:line="267" w:lineRule="auto"/>
        <w:tabs>
          <w:tab w:leader="none" w:pos="125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June 23, 2023, David Schlanger, our Executive Chairman, adopted a trading plan that is intended to satisfy the conditions under Rule 10b5-1(c) of the Exchange Act. Mr. Schlanger's trading plan is for the sale of up to 960,000 shares of the Company's common stock in amounts and prices determined in accordance with a formula set forth in the plan and terminates on the earlier of the date all shares under the plan are sold or August 30, 2024.</w:t>
      </w:r>
    </w:p>
    <w:p>
      <w:pPr>
        <w:spacing w:after="0" w:line="175" w:lineRule="exact"/>
        <w:rPr>
          <w:rFonts w:ascii="Arial" w:cs="Arial" w:eastAsia="Arial" w:hAnsi="Arial"/>
          <w:sz w:val="17"/>
          <w:szCs w:val="17"/>
          <w:color w:val="auto"/>
        </w:rPr>
      </w:pPr>
    </w:p>
    <w:p>
      <w:pPr>
        <w:ind w:left="1260" w:right="120"/>
        <w:spacing w:after="0" w:line="267" w:lineRule="auto"/>
        <w:rPr>
          <w:rFonts w:ascii="Arial" w:cs="Arial" w:eastAsia="Arial" w:hAnsi="Arial"/>
          <w:sz w:val="17"/>
          <w:szCs w:val="17"/>
          <w:color w:val="auto"/>
        </w:rPr>
      </w:pPr>
      <w:r>
        <w:rPr>
          <w:rFonts w:ascii="Arial" w:cs="Arial" w:eastAsia="Arial" w:hAnsi="Arial"/>
          <w:sz w:val="17"/>
          <w:szCs w:val="17"/>
          <w:color w:val="auto"/>
        </w:rPr>
        <w:t>On August 7, 2023, Mark Livingston, our Chief Financial Officer, adopted a trading plan that is intended to satisfy the conditions under Rule 10b5-1(c) of the Exchange Act. Mr. Livingston's trading plan is for the sale of up to 148,627 shares of the Company's common stock in amounts and prices determined in accordance with a formula set forth in the plan and terminates on the earlier of the date all shares under the plan are sold or April 30, 2024.</w:t>
      </w:r>
    </w:p>
    <w:p>
      <w:pPr>
        <w:spacing w:after="0" w:line="175" w:lineRule="exact"/>
        <w:rPr>
          <w:rFonts w:ascii="Arial" w:cs="Arial" w:eastAsia="Arial" w:hAnsi="Arial"/>
          <w:sz w:val="17"/>
          <w:szCs w:val="17"/>
          <w:color w:val="auto"/>
        </w:rPr>
      </w:pPr>
    </w:p>
    <w:p>
      <w:pPr>
        <w:ind w:left="1260" w:right="20"/>
        <w:spacing w:after="0" w:line="261" w:lineRule="auto"/>
        <w:rPr>
          <w:rFonts w:ascii="Arial" w:cs="Arial" w:eastAsia="Arial" w:hAnsi="Arial"/>
          <w:sz w:val="17"/>
          <w:szCs w:val="17"/>
          <w:color w:val="auto"/>
        </w:rPr>
      </w:pPr>
      <w:r>
        <w:rPr>
          <w:rFonts w:ascii="Arial" w:cs="Arial" w:eastAsia="Arial" w:hAnsi="Arial"/>
          <w:sz w:val="17"/>
          <w:szCs w:val="17"/>
          <w:color w:val="auto"/>
        </w:rPr>
        <w:t>On August 31, 2023, Michael Sturmer, our President, adopted a trading plan that is intended to satisfy the conditions under Rule 10b5-1(c) of the Exchange Act. Mr. Sturmer's trading plan is for the sale of up to approximately 176,880 shares of the Company's common stock, including upon the vesting and settlement of certain equity awards, in amounts and prices determined in accordance with a formula set forth in the plan. Because the aggregate number of shares that may be sold under the Mr. Sturmer's plan will be net of shares withheld by the Company to satisfy Mr. Sturmer's tax obligations upon the vesting and settlement of certain equity awards, the precise number of shares that may be sold under Mr. Sturmer's trading plan is not yet determinable. The plan terminates on the earlier of the date all shares under the plan are sold or August 23, 2024.</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258" w:right="35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ind w:left="520"/>
              <w:spacing w:after="0"/>
              <w:rPr>
                <w:sz w:val="20"/>
                <w:szCs w:val="20"/>
                <w:color w:val="auto"/>
              </w:rPr>
            </w:pPr>
            <w:r>
              <w:rPr>
                <w:rFonts w:ascii="Arial" w:cs="Arial" w:eastAsia="Arial" w:hAnsi="Arial"/>
                <w:sz w:val="14"/>
                <w:szCs w:val="14"/>
                <w:b w:val="1"/>
                <w:bCs w:val="1"/>
                <w:color w:val="auto"/>
                <w:w w:val="93"/>
              </w:rPr>
              <w:t>Incorporated by Reference</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Filed/Furnished</w:t>
            </w:r>
          </w:p>
        </w:tc>
        <w:tc>
          <w:tcPr>
            <w:tcW w:w="0" w:type="dxa"/>
            <w:vAlign w:val="bottom"/>
          </w:tcPr>
          <w:p>
            <w:pPr>
              <w:spacing w:after="0"/>
              <w:rPr>
                <w:sz w:val="1"/>
                <w:szCs w:val="1"/>
                <w:color w:val="auto"/>
              </w:rPr>
            </w:pPr>
          </w:p>
        </w:tc>
      </w:tr>
      <w:tr>
        <w:trPr>
          <w:trHeight w:val="124"/>
        </w:trPr>
        <w:tc>
          <w:tcPr>
            <w:tcW w:w="2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10"/>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0"/>
                <w:szCs w:val="10"/>
                <w:color w:val="auto"/>
              </w:rPr>
            </w:pPr>
          </w:p>
        </w:tc>
        <w:tc>
          <w:tcPr>
            <w:tcW w:w="68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80" w:type="dxa"/>
            <w:vAlign w:val="bottom"/>
            <w:tcBorders>
              <w:top w:val="single" w:sz="8" w:color="auto"/>
            </w:tcBorders>
            <w:vMerge w:val="restart"/>
          </w:tcPr>
          <w:p>
            <w:pPr>
              <w:spacing w:after="0"/>
              <w:rPr>
                <w:sz w:val="10"/>
                <w:szCs w:val="10"/>
                <w:color w:val="auto"/>
              </w:rPr>
            </w:pPr>
          </w:p>
        </w:tc>
        <w:tc>
          <w:tcPr>
            <w:tcW w:w="128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File No.</w:t>
            </w:r>
          </w:p>
        </w:tc>
        <w:tc>
          <w:tcPr>
            <w:tcW w:w="80" w:type="dxa"/>
            <w:vAlign w:val="bottom"/>
            <w:tcBorders>
              <w:top w:val="single" w:sz="8" w:color="auto"/>
            </w:tcBorders>
            <w:vMerge w:val="restart"/>
          </w:tcPr>
          <w:p>
            <w:pPr>
              <w:spacing w:after="0"/>
              <w:rPr>
                <w:sz w:val="10"/>
                <w:szCs w:val="10"/>
                <w:color w:val="auto"/>
              </w:rPr>
            </w:pPr>
          </w:p>
        </w:tc>
        <w:tc>
          <w:tcPr>
            <w:tcW w:w="74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0"/>
                <w:szCs w:val="10"/>
                <w:color w:val="auto"/>
              </w:rPr>
            </w:pPr>
          </w:p>
        </w:tc>
        <w:tc>
          <w:tcPr>
            <w:tcW w:w="1220" w:type="dxa"/>
            <w:vAlign w:val="bottom"/>
            <w:tcBorders>
              <w:top w:val="single" w:sz="8" w:color="auto"/>
            </w:tcBorders>
          </w:tcPr>
          <w:p>
            <w:pPr>
              <w:ind w:left="440"/>
              <w:spacing w:after="0" w:line="124"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0"/>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6"/>
        </w:trPr>
        <w:tc>
          <w:tcPr>
            <w:tcW w:w="240" w:type="dxa"/>
            <w:vAlign w:val="bottom"/>
          </w:tcPr>
          <w:p>
            <w:pPr>
              <w:ind w:left="20"/>
              <w:spacing w:after="0"/>
              <w:rPr>
                <w:sz w:val="20"/>
                <w:szCs w:val="20"/>
                <w:color w:val="auto"/>
              </w:rPr>
            </w:pPr>
            <w:r>
              <w:rPr>
                <w:rFonts w:ascii="Arial" w:cs="Arial" w:eastAsia="Arial" w:hAnsi="Arial"/>
                <w:sz w:val="17"/>
                <w:szCs w:val="17"/>
                <w:color w:val="auto"/>
                <w:w w:val="84"/>
              </w:rPr>
              <w:t>3.1</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EE"/>
            </w:tcBorders>
            <w:gridSpan w:val="10"/>
          </w:tcPr>
          <w:p>
            <w:pPr>
              <w:spacing w:after="0"/>
              <w:rPr>
                <w:rFonts w:ascii="Arial" w:cs="Arial" w:eastAsia="Arial" w:hAnsi="Arial"/>
                <w:sz w:val="17"/>
                <w:szCs w:val="17"/>
                <w:color w:val="0000EE"/>
                <w:w w:val="93"/>
              </w:rPr>
            </w:pPr>
            <w:hyperlink r:id="rId82">
              <w:r>
                <w:rPr>
                  <w:rFonts w:ascii="Arial" w:cs="Arial" w:eastAsia="Arial" w:hAnsi="Arial"/>
                  <w:sz w:val="17"/>
                  <w:szCs w:val="17"/>
                  <w:color w:val="0000EE"/>
                  <w:w w:val="93"/>
                </w:rPr>
                <w:t>Amended and Restated Certificate of Incorporation of Progyny,</w:t>
              </w:r>
            </w:hyperlink>
          </w:p>
        </w:tc>
        <w:tc>
          <w:tcPr>
            <w:tcW w:w="380" w:type="dxa"/>
            <w:vAlign w:val="bottom"/>
            <w:gridSpan w:val="5"/>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7"/>
                <w:szCs w:val="17"/>
                <w:color w:val="auto"/>
              </w:rPr>
              <w:t>8-K</w:t>
            </w:r>
          </w:p>
        </w:tc>
        <w:tc>
          <w:tcPr>
            <w:tcW w:w="1280" w:type="dxa"/>
            <w:vAlign w:val="bottom"/>
          </w:tcPr>
          <w:p>
            <w:pPr>
              <w:ind w:left="20"/>
              <w:spacing w:after="0"/>
              <w:rPr>
                <w:sz w:val="20"/>
                <w:szCs w:val="20"/>
                <w:color w:val="auto"/>
              </w:rPr>
            </w:pPr>
            <w:r>
              <w:rPr>
                <w:rFonts w:ascii="Arial" w:cs="Arial" w:eastAsia="Arial" w:hAnsi="Arial"/>
                <w:sz w:val="17"/>
                <w:szCs w:val="17"/>
                <w:color w:val="auto"/>
              </w:rPr>
              <w:t>001-39100</w:t>
            </w:r>
          </w:p>
        </w:tc>
        <w:tc>
          <w:tcPr>
            <w:tcW w:w="80" w:type="dxa"/>
            <w:vAlign w:val="bottom"/>
          </w:tcPr>
          <w:p>
            <w:pPr>
              <w:spacing w:after="0"/>
              <w:rPr>
                <w:sz w:val="17"/>
                <w:szCs w:val="17"/>
                <w:color w:val="auto"/>
              </w:rPr>
            </w:pPr>
          </w:p>
        </w:tc>
        <w:tc>
          <w:tcPr>
            <w:tcW w:w="740" w:type="dxa"/>
            <w:vAlign w:val="bottom"/>
          </w:tcPr>
          <w:p>
            <w:pPr>
              <w:jc w:val="right"/>
              <w:ind w:right="415"/>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auto"/>
              </w:rPr>
              <w:t>10/31/2019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0000EE"/>
            </w:tcBorders>
          </w:tcPr>
          <w:p>
            <w:pPr>
              <w:spacing w:after="0" w:line="176" w:lineRule="exact"/>
              <w:rPr>
                <w:rFonts w:ascii="Arial" w:cs="Arial" w:eastAsia="Arial" w:hAnsi="Arial"/>
                <w:sz w:val="17"/>
                <w:szCs w:val="17"/>
                <w:color w:val="0000EE"/>
                <w:w w:val="94"/>
              </w:rPr>
            </w:pPr>
            <w:hyperlink r:id="rId82">
              <w:r>
                <w:rPr>
                  <w:rFonts w:ascii="Arial" w:cs="Arial" w:eastAsia="Arial" w:hAnsi="Arial"/>
                  <w:sz w:val="17"/>
                  <w:szCs w:val="17"/>
                  <w:color w:val="0000EE"/>
                  <w:w w:val="94"/>
                </w:rPr>
                <w:t>Inc.</w:t>
              </w:r>
            </w:hyperlink>
          </w:p>
        </w:tc>
        <w:tc>
          <w:tcPr>
            <w:tcW w:w="4540" w:type="dxa"/>
            <w:vAlign w:val="bottom"/>
            <w:gridSpan w:val="14"/>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40" w:type="dxa"/>
            <w:vAlign w:val="bottom"/>
          </w:tcPr>
          <w:p>
            <w:pPr>
              <w:ind w:left="20"/>
              <w:spacing w:after="0"/>
              <w:rPr>
                <w:sz w:val="20"/>
                <w:szCs w:val="20"/>
                <w:color w:val="auto"/>
              </w:rPr>
            </w:pPr>
            <w:r>
              <w:rPr>
                <w:rFonts w:ascii="Arial" w:cs="Arial" w:eastAsia="Arial" w:hAnsi="Arial"/>
                <w:sz w:val="17"/>
                <w:szCs w:val="17"/>
                <w:color w:val="auto"/>
                <w:w w:val="84"/>
              </w:rPr>
              <w:t>3.2</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Borders>
              <w:bottom w:val="single" w:sz="8" w:color="0000EE"/>
            </w:tcBorders>
            <w:gridSpan w:val="7"/>
          </w:tcPr>
          <w:p>
            <w:pPr>
              <w:spacing w:after="0"/>
              <w:rPr>
                <w:rFonts w:ascii="Arial" w:cs="Arial" w:eastAsia="Arial" w:hAnsi="Arial"/>
                <w:sz w:val="17"/>
                <w:szCs w:val="17"/>
                <w:color w:val="0000EE"/>
                <w:w w:val="92"/>
              </w:rPr>
            </w:pPr>
            <w:hyperlink r:id="rId83">
              <w:r>
                <w:rPr>
                  <w:rFonts w:ascii="Arial" w:cs="Arial" w:eastAsia="Arial" w:hAnsi="Arial"/>
                  <w:sz w:val="17"/>
                  <w:szCs w:val="17"/>
                  <w:color w:val="0000EE"/>
                  <w:w w:val="92"/>
                </w:rPr>
                <w:t>Amended and Restated By-laws of Progyny, Inc.</w:t>
              </w:r>
            </w:hyperlink>
          </w:p>
        </w:tc>
        <w:tc>
          <w:tcPr>
            <w:tcW w:w="1400" w:type="dxa"/>
            <w:vAlign w:val="bottom"/>
            <w:gridSpan w:val="8"/>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7"/>
                <w:szCs w:val="17"/>
                <w:color w:val="auto"/>
              </w:rPr>
              <w:t>S-1</w:t>
            </w:r>
          </w:p>
        </w:tc>
        <w:tc>
          <w:tcPr>
            <w:tcW w:w="1280" w:type="dxa"/>
            <w:vAlign w:val="bottom"/>
          </w:tcPr>
          <w:p>
            <w:pPr>
              <w:ind w:left="20"/>
              <w:spacing w:after="0"/>
              <w:rPr>
                <w:sz w:val="20"/>
                <w:szCs w:val="20"/>
                <w:color w:val="auto"/>
              </w:rPr>
            </w:pPr>
            <w:r>
              <w:rPr>
                <w:rFonts w:ascii="Arial" w:cs="Arial" w:eastAsia="Arial" w:hAnsi="Arial"/>
                <w:sz w:val="17"/>
                <w:szCs w:val="17"/>
                <w:color w:val="auto"/>
              </w:rPr>
              <w:t>333-233965</w:t>
            </w:r>
          </w:p>
        </w:tc>
        <w:tc>
          <w:tcPr>
            <w:tcW w:w="80" w:type="dxa"/>
            <w:vAlign w:val="bottom"/>
          </w:tcPr>
          <w:p>
            <w:pPr>
              <w:spacing w:after="0"/>
              <w:rPr>
                <w:sz w:val="20"/>
                <w:szCs w:val="20"/>
                <w:color w:val="auto"/>
              </w:rPr>
            </w:pPr>
          </w:p>
        </w:tc>
        <w:tc>
          <w:tcPr>
            <w:tcW w:w="740" w:type="dxa"/>
            <w:vAlign w:val="bottom"/>
          </w:tcPr>
          <w:p>
            <w:pPr>
              <w:jc w:val="right"/>
              <w:ind w:right="415"/>
              <w:spacing w:after="0"/>
              <w:rPr>
                <w:sz w:val="20"/>
                <w:szCs w:val="20"/>
                <w:color w:val="auto"/>
              </w:rPr>
            </w:pPr>
            <w:r>
              <w:rPr>
                <w:rFonts w:ascii="Arial" w:cs="Arial" w:eastAsia="Arial" w:hAnsi="Arial"/>
                <w:sz w:val="17"/>
                <w:szCs w:val="17"/>
                <w:color w:val="auto"/>
                <w:w w:val="92"/>
              </w:rPr>
              <w:t>3.4</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auto"/>
              </w:rPr>
              <w:t>9/27/2019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40" w:type="dxa"/>
            <w:vAlign w:val="bottom"/>
          </w:tcPr>
          <w:p>
            <w:pPr>
              <w:ind w:left="20"/>
              <w:spacing w:after="0"/>
              <w:rPr>
                <w:sz w:val="20"/>
                <w:szCs w:val="20"/>
                <w:color w:val="auto"/>
              </w:rPr>
            </w:pPr>
            <w:r>
              <w:rPr>
                <w:rFonts w:ascii="Arial" w:cs="Arial" w:eastAsia="Arial" w:hAnsi="Arial"/>
                <w:sz w:val="17"/>
                <w:szCs w:val="17"/>
                <w:color w:val="auto"/>
                <w:w w:val="84"/>
              </w:rPr>
              <w:t>4.1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Borders>
              <w:bottom w:val="single" w:sz="8" w:color="0000EE"/>
            </w:tcBorders>
            <w:gridSpan w:val="5"/>
          </w:tcPr>
          <w:p>
            <w:pPr>
              <w:spacing w:after="0"/>
              <w:rPr>
                <w:rFonts w:ascii="Arial" w:cs="Arial" w:eastAsia="Arial" w:hAnsi="Arial"/>
                <w:sz w:val="17"/>
                <w:szCs w:val="17"/>
                <w:color w:val="0000EE"/>
                <w:w w:val="94"/>
              </w:rPr>
            </w:pPr>
            <w:hyperlink r:id="rId84">
              <w:r>
                <w:rPr>
                  <w:rFonts w:ascii="Arial" w:cs="Arial" w:eastAsia="Arial" w:hAnsi="Arial"/>
                  <w:sz w:val="17"/>
                  <w:szCs w:val="17"/>
                  <w:color w:val="0000EE"/>
                  <w:w w:val="94"/>
                </w:rPr>
                <w:t>Form of common stock certificate</w:t>
              </w:r>
            </w:hyperlink>
          </w:p>
        </w:tc>
        <w:tc>
          <w:tcPr>
            <w:tcW w:w="2440" w:type="dxa"/>
            <w:vAlign w:val="bottom"/>
            <w:gridSpan w:val="10"/>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20"/>
              <w:spacing w:after="0"/>
              <w:rPr>
                <w:sz w:val="20"/>
                <w:szCs w:val="20"/>
                <w:color w:val="auto"/>
              </w:rPr>
            </w:pPr>
            <w:r>
              <w:rPr>
                <w:rFonts w:ascii="Arial" w:cs="Arial" w:eastAsia="Arial" w:hAnsi="Arial"/>
                <w:sz w:val="17"/>
                <w:szCs w:val="17"/>
                <w:color w:val="auto"/>
              </w:rPr>
              <w:t>333-233965</w:t>
            </w:r>
          </w:p>
        </w:tc>
        <w:tc>
          <w:tcPr>
            <w:tcW w:w="80" w:type="dxa"/>
            <w:vAlign w:val="bottom"/>
          </w:tcPr>
          <w:p>
            <w:pPr>
              <w:spacing w:after="0"/>
              <w:rPr>
                <w:sz w:val="19"/>
                <w:szCs w:val="19"/>
                <w:color w:val="auto"/>
              </w:rPr>
            </w:pPr>
          </w:p>
        </w:tc>
        <w:tc>
          <w:tcPr>
            <w:tcW w:w="740" w:type="dxa"/>
            <w:vAlign w:val="bottom"/>
          </w:tcPr>
          <w:p>
            <w:pPr>
              <w:jc w:val="right"/>
              <w:ind w:right="415"/>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auto"/>
              </w:rPr>
              <w:t>10/15/2019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tcPr>
          <w:p>
            <w:pPr>
              <w:ind w:left="20"/>
              <w:spacing w:after="0"/>
              <w:rPr>
                <w:sz w:val="20"/>
                <w:szCs w:val="20"/>
                <w:color w:val="auto"/>
              </w:rPr>
            </w:pPr>
            <w:r>
              <w:rPr>
                <w:rFonts w:ascii="Arial" w:cs="Arial" w:eastAsia="Arial" w:hAnsi="Arial"/>
                <w:sz w:val="17"/>
                <w:szCs w:val="17"/>
                <w:color w:val="auto"/>
                <w:w w:val="84"/>
              </w:rPr>
              <w:t>4.2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tcBorders>
              <w:bottom w:val="single" w:sz="8" w:color="0000EE"/>
            </w:tcBorders>
            <w:gridSpan w:val="6"/>
          </w:tcPr>
          <w:p>
            <w:pPr>
              <w:spacing w:after="0"/>
              <w:rPr>
                <w:rFonts w:ascii="Arial" w:cs="Arial" w:eastAsia="Arial" w:hAnsi="Arial"/>
                <w:sz w:val="17"/>
                <w:szCs w:val="17"/>
                <w:color w:val="0000EE"/>
                <w:w w:val="92"/>
              </w:rPr>
            </w:pPr>
            <w:hyperlink r:id="rId85">
              <w:r>
                <w:rPr>
                  <w:rFonts w:ascii="Arial" w:cs="Arial" w:eastAsia="Arial" w:hAnsi="Arial"/>
                  <w:sz w:val="17"/>
                  <w:szCs w:val="17"/>
                  <w:color w:val="0000EE"/>
                  <w:w w:val="92"/>
                </w:rPr>
                <w:t>Form of 2013 Preferred Stock Warrant.</w:t>
              </w:r>
            </w:hyperlink>
          </w:p>
        </w:tc>
        <w:tc>
          <w:tcPr>
            <w:tcW w:w="2080" w:type="dxa"/>
            <w:vAlign w:val="bottom"/>
            <w:gridSpan w:val="9"/>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20"/>
              <w:spacing w:after="0"/>
              <w:rPr>
                <w:sz w:val="20"/>
                <w:szCs w:val="20"/>
                <w:color w:val="auto"/>
              </w:rPr>
            </w:pPr>
            <w:r>
              <w:rPr>
                <w:rFonts w:ascii="Arial" w:cs="Arial" w:eastAsia="Arial" w:hAnsi="Arial"/>
                <w:sz w:val="17"/>
                <w:szCs w:val="17"/>
                <w:color w:val="auto"/>
              </w:rPr>
              <w:t>333-233965</w:t>
            </w:r>
          </w:p>
        </w:tc>
        <w:tc>
          <w:tcPr>
            <w:tcW w:w="80" w:type="dxa"/>
            <w:vAlign w:val="bottom"/>
          </w:tcPr>
          <w:p>
            <w:pPr>
              <w:spacing w:after="0"/>
              <w:rPr>
                <w:sz w:val="19"/>
                <w:szCs w:val="19"/>
                <w:color w:val="auto"/>
              </w:rPr>
            </w:pPr>
          </w:p>
        </w:tc>
        <w:tc>
          <w:tcPr>
            <w:tcW w:w="740" w:type="dxa"/>
            <w:vAlign w:val="bottom"/>
          </w:tcPr>
          <w:p>
            <w:pPr>
              <w:jc w:val="right"/>
              <w:ind w:right="415"/>
              <w:spacing w:after="0"/>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auto"/>
              </w:rPr>
              <w:t>10/15/2019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tcPr>
          <w:p>
            <w:pPr>
              <w:ind w:left="20"/>
              <w:spacing w:after="0"/>
              <w:rPr>
                <w:sz w:val="20"/>
                <w:szCs w:val="20"/>
                <w:color w:val="auto"/>
              </w:rPr>
            </w:pPr>
            <w:r>
              <w:rPr>
                <w:rFonts w:ascii="Arial" w:cs="Arial" w:eastAsia="Arial" w:hAnsi="Arial"/>
                <w:sz w:val="17"/>
                <w:szCs w:val="17"/>
                <w:color w:val="auto"/>
                <w:w w:val="84"/>
              </w:rPr>
              <w:t>4.3</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tcBorders>
              <w:bottom w:val="single" w:sz="8" w:color="0000EE"/>
            </w:tcBorders>
            <w:gridSpan w:val="6"/>
          </w:tcPr>
          <w:p>
            <w:pPr>
              <w:spacing w:after="0"/>
              <w:rPr>
                <w:rFonts w:ascii="Arial" w:cs="Arial" w:eastAsia="Arial" w:hAnsi="Arial"/>
                <w:sz w:val="17"/>
                <w:szCs w:val="17"/>
                <w:color w:val="0000EE"/>
                <w:w w:val="92"/>
              </w:rPr>
            </w:pPr>
            <w:hyperlink r:id="rId86">
              <w:r>
                <w:rPr>
                  <w:rFonts w:ascii="Arial" w:cs="Arial" w:eastAsia="Arial" w:hAnsi="Arial"/>
                  <w:sz w:val="17"/>
                  <w:szCs w:val="17"/>
                  <w:color w:val="0000EE"/>
                  <w:w w:val="92"/>
                </w:rPr>
                <w:t>Form of 2014 Preferred Stock Warrant.</w:t>
              </w:r>
            </w:hyperlink>
          </w:p>
        </w:tc>
        <w:tc>
          <w:tcPr>
            <w:tcW w:w="2080" w:type="dxa"/>
            <w:vAlign w:val="bottom"/>
            <w:gridSpan w:val="9"/>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20"/>
              <w:spacing w:after="0"/>
              <w:rPr>
                <w:sz w:val="20"/>
                <w:szCs w:val="20"/>
                <w:color w:val="auto"/>
              </w:rPr>
            </w:pPr>
            <w:r>
              <w:rPr>
                <w:rFonts w:ascii="Arial" w:cs="Arial" w:eastAsia="Arial" w:hAnsi="Arial"/>
                <w:sz w:val="17"/>
                <w:szCs w:val="17"/>
                <w:color w:val="auto"/>
              </w:rPr>
              <w:t>333-233965</w:t>
            </w:r>
          </w:p>
        </w:tc>
        <w:tc>
          <w:tcPr>
            <w:tcW w:w="80" w:type="dxa"/>
            <w:vAlign w:val="bottom"/>
          </w:tcPr>
          <w:p>
            <w:pPr>
              <w:spacing w:after="0"/>
              <w:rPr>
                <w:sz w:val="19"/>
                <w:szCs w:val="19"/>
                <w:color w:val="auto"/>
              </w:rPr>
            </w:pPr>
          </w:p>
        </w:tc>
        <w:tc>
          <w:tcPr>
            <w:tcW w:w="740" w:type="dxa"/>
            <w:vAlign w:val="bottom"/>
          </w:tcPr>
          <w:p>
            <w:pPr>
              <w:jc w:val="right"/>
              <w:ind w:right="415"/>
              <w:spacing w:after="0"/>
              <w:rPr>
                <w:sz w:val="20"/>
                <w:szCs w:val="20"/>
                <w:color w:val="auto"/>
              </w:rPr>
            </w:pPr>
            <w:r>
              <w:rPr>
                <w:rFonts w:ascii="Arial" w:cs="Arial" w:eastAsia="Arial" w:hAnsi="Arial"/>
                <w:sz w:val="17"/>
                <w:szCs w:val="17"/>
                <w:color w:val="auto"/>
                <w:w w:val="92"/>
              </w:rPr>
              <w:t>4.3</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auto"/>
              </w:rPr>
              <w:t>10/15/2019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tcPr>
          <w:p>
            <w:pPr>
              <w:ind w:left="20"/>
              <w:spacing w:after="0"/>
              <w:rPr>
                <w:sz w:val="20"/>
                <w:szCs w:val="20"/>
                <w:color w:val="auto"/>
              </w:rPr>
            </w:pPr>
            <w:r>
              <w:rPr>
                <w:rFonts w:ascii="Arial" w:cs="Arial" w:eastAsia="Arial" w:hAnsi="Arial"/>
                <w:sz w:val="17"/>
                <w:szCs w:val="17"/>
                <w:color w:val="auto"/>
                <w:w w:val="84"/>
              </w:rPr>
              <w:t>4.4</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tcBorders>
              <w:bottom w:val="single" w:sz="8" w:color="0000EE"/>
            </w:tcBorders>
            <w:gridSpan w:val="6"/>
          </w:tcPr>
          <w:p>
            <w:pPr>
              <w:spacing w:after="0"/>
              <w:rPr>
                <w:rFonts w:ascii="Arial" w:cs="Arial" w:eastAsia="Arial" w:hAnsi="Arial"/>
                <w:sz w:val="17"/>
                <w:szCs w:val="17"/>
                <w:color w:val="0000EE"/>
                <w:w w:val="92"/>
              </w:rPr>
            </w:pPr>
            <w:hyperlink r:id="rId87">
              <w:r>
                <w:rPr>
                  <w:rFonts w:ascii="Arial" w:cs="Arial" w:eastAsia="Arial" w:hAnsi="Arial"/>
                  <w:sz w:val="17"/>
                  <w:szCs w:val="17"/>
                  <w:color w:val="0000EE"/>
                  <w:w w:val="92"/>
                </w:rPr>
                <w:t>Form of 2015 Preferred Stock Warrant.</w:t>
              </w:r>
            </w:hyperlink>
          </w:p>
        </w:tc>
        <w:tc>
          <w:tcPr>
            <w:tcW w:w="2080" w:type="dxa"/>
            <w:vAlign w:val="bottom"/>
            <w:gridSpan w:val="9"/>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20"/>
              <w:spacing w:after="0"/>
              <w:rPr>
                <w:sz w:val="20"/>
                <w:szCs w:val="20"/>
                <w:color w:val="auto"/>
              </w:rPr>
            </w:pPr>
            <w:r>
              <w:rPr>
                <w:rFonts w:ascii="Arial" w:cs="Arial" w:eastAsia="Arial" w:hAnsi="Arial"/>
                <w:sz w:val="17"/>
                <w:szCs w:val="17"/>
                <w:color w:val="auto"/>
              </w:rPr>
              <w:t>333-233965</w:t>
            </w:r>
          </w:p>
        </w:tc>
        <w:tc>
          <w:tcPr>
            <w:tcW w:w="80" w:type="dxa"/>
            <w:vAlign w:val="bottom"/>
          </w:tcPr>
          <w:p>
            <w:pPr>
              <w:spacing w:after="0"/>
              <w:rPr>
                <w:sz w:val="19"/>
                <w:szCs w:val="19"/>
                <w:color w:val="auto"/>
              </w:rPr>
            </w:pPr>
          </w:p>
        </w:tc>
        <w:tc>
          <w:tcPr>
            <w:tcW w:w="740" w:type="dxa"/>
            <w:vAlign w:val="bottom"/>
          </w:tcPr>
          <w:p>
            <w:pPr>
              <w:jc w:val="right"/>
              <w:ind w:right="415"/>
              <w:spacing w:after="0"/>
              <w:rPr>
                <w:sz w:val="20"/>
                <w:szCs w:val="20"/>
                <w:color w:val="auto"/>
              </w:rPr>
            </w:pPr>
            <w:r>
              <w:rPr>
                <w:rFonts w:ascii="Arial" w:cs="Arial" w:eastAsia="Arial" w:hAnsi="Arial"/>
                <w:sz w:val="17"/>
                <w:szCs w:val="17"/>
                <w:color w:val="auto"/>
                <w:w w:val="92"/>
              </w:rPr>
              <w:t>4.4</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auto"/>
              </w:rPr>
              <w:t>10/15/2019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tcPr>
          <w:p>
            <w:pPr>
              <w:ind w:left="20"/>
              <w:spacing w:after="0"/>
              <w:rPr>
                <w:sz w:val="20"/>
                <w:szCs w:val="20"/>
                <w:color w:val="auto"/>
              </w:rPr>
            </w:pPr>
            <w:r>
              <w:rPr>
                <w:rFonts w:ascii="Arial" w:cs="Arial" w:eastAsia="Arial" w:hAnsi="Arial"/>
                <w:sz w:val="17"/>
                <w:szCs w:val="17"/>
                <w:color w:val="auto"/>
                <w:w w:val="84"/>
              </w:rPr>
              <w:t>4.5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bottom w:val="single" w:sz="8" w:color="0000EE"/>
            </w:tcBorders>
            <w:gridSpan w:val="9"/>
          </w:tcPr>
          <w:p>
            <w:pPr>
              <w:spacing w:after="0"/>
              <w:rPr>
                <w:rFonts w:ascii="Arial" w:cs="Arial" w:eastAsia="Arial" w:hAnsi="Arial"/>
                <w:sz w:val="17"/>
                <w:szCs w:val="17"/>
                <w:color w:val="0000EE"/>
                <w:w w:val="92"/>
              </w:rPr>
            </w:pPr>
            <w:hyperlink r:id="rId88">
              <w:r>
                <w:rPr>
                  <w:rFonts w:ascii="Arial" w:cs="Arial" w:eastAsia="Arial" w:hAnsi="Arial"/>
                  <w:sz w:val="17"/>
                  <w:szCs w:val="17"/>
                  <w:color w:val="0000EE"/>
                  <w:w w:val="92"/>
                </w:rPr>
                <w:t>Warrant to Purchase Stock issued to Silicon Valley Bank dated</w:t>
              </w:r>
            </w:hyperlink>
          </w:p>
        </w:tc>
        <w:tc>
          <w:tcPr>
            <w:tcW w:w="440" w:type="dxa"/>
            <w:vAlign w:val="bottom"/>
            <w:gridSpan w:val="6"/>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20"/>
              <w:spacing w:after="0"/>
              <w:rPr>
                <w:sz w:val="20"/>
                <w:szCs w:val="20"/>
                <w:color w:val="auto"/>
              </w:rPr>
            </w:pPr>
            <w:r>
              <w:rPr>
                <w:rFonts w:ascii="Arial" w:cs="Arial" w:eastAsia="Arial" w:hAnsi="Arial"/>
                <w:sz w:val="17"/>
                <w:szCs w:val="17"/>
                <w:color w:val="auto"/>
              </w:rPr>
              <w:t>333-233965</w:t>
            </w:r>
          </w:p>
        </w:tc>
        <w:tc>
          <w:tcPr>
            <w:tcW w:w="80" w:type="dxa"/>
            <w:vAlign w:val="bottom"/>
          </w:tcPr>
          <w:p>
            <w:pPr>
              <w:spacing w:after="0"/>
              <w:rPr>
                <w:sz w:val="19"/>
                <w:szCs w:val="19"/>
                <w:color w:val="auto"/>
              </w:rPr>
            </w:pPr>
          </w:p>
        </w:tc>
        <w:tc>
          <w:tcPr>
            <w:tcW w:w="740" w:type="dxa"/>
            <w:vAlign w:val="bottom"/>
          </w:tcPr>
          <w:p>
            <w:pPr>
              <w:jc w:val="right"/>
              <w:ind w:right="415"/>
              <w:spacing w:after="0"/>
              <w:rPr>
                <w:sz w:val="20"/>
                <w:szCs w:val="20"/>
                <w:color w:val="auto"/>
              </w:rPr>
            </w:pPr>
            <w:r>
              <w:rPr>
                <w:rFonts w:ascii="Arial" w:cs="Arial" w:eastAsia="Arial" w:hAnsi="Arial"/>
                <w:sz w:val="17"/>
                <w:szCs w:val="17"/>
                <w:color w:val="auto"/>
                <w:w w:val="92"/>
              </w:rPr>
              <w:t>4.5</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auto"/>
              </w:rPr>
              <w:t>10/15/2019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0000EE"/>
            </w:tcBorders>
            <w:gridSpan w:val="4"/>
          </w:tcPr>
          <w:p>
            <w:pPr>
              <w:spacing w:after="0" w:line="176" w:lineRule="exact"/>
              <w:rPr>
                <w:rFonts w:ascii="Arial" w:cs="Arial" w:eastAsia="Arial" w:hAnsi="Arial"/>
                <w:sz w:val="17"/>
                <w:szCs w:val="17"/>
                <w:color w:val="0000EE"/>
                <w:w w:val="91"/>
              </w:rPr>
            </w:pPr>
            <w:hyperlink r:id="rId88">
              <w:r>
                <w:rPr>
                  <w:rFonts w:ascii="Arial" w:cs="Arial" w:eastAsia="Arial" w:hAnsi="Arial"/>
                  <w:sz w:val="17"/>
                  <w:szCs w:val="17"/>
                  <w:color w:val="0000EE"/>
                  <w:w w:val="91"/>
                </w:rPr>
                <w:t>October 9, 2013.</w:t>
              </w:r>
            </w:hyperlink>
          </w:p>
        </w:tc>
        <w:tc>
          <w:tcPr>
            <w:tcW w:w="3640" w:type="dxa"/>
            <w:vAlign w:val="bottom"/>
            <w:gridSpan w:val="11"/>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000" w:type="dxa"/>
            <w:vAlign w:val="bottom"/>
            <w:gridSpan w:val="2"/>
          </w:tcPr>
          <w:p>
            <w:pPr>
              <w:ind w:left="20"/>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5"/>
              </w:rPr>
              <w:t>Certification of Chief Executive Officer pursuant to Exchange Act</w:t>
            </w:r>
          </w:p>
        </w:tc>
        <w:tc>
          <w:tcPr>
            <w:tcW w:w="18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bottom w:val="single" w:sz="8" w:color="0000FF"/>
            </w:tcBorders>
            <w:gridSpan w:val="3"/>
          </w:tcPr>
          <w:p>
            <w:pPr>
              <w:spacing w:after="0" w:line="176" w:lineRule="exact"/>
              <w:rPr>
                <w:sz w:val="20"/>
                <w:szCs w:val="20"/>
                <w:color w:val="auto"/>
              </w:rPr>
            </w:pPr>
            <w:r>
              <w:rPr>
                <w:rFonts w:ascii="Arial" w:cs="Arial" w:eastAsia="Arial" w:hAnsi="Arial"/>
                <w:sz w:val="17"/>
                <w:szCs w:val="17"/>
                <w:color w:val="0000FF"/>
                <w:w w:val="91"/>
              </w:rPr>
              <w:t>Rule 13a-14(a).</w:t>
            </w:r>
          </w:p>
        </w:tc>
        <w:tc>
          <w:tcPr>
            <w:tcW w:w="3720" w:type="dxa"/>
            <w:vAlign w:val="bottom"/>
            <w:gridSpan w:val="12"/>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000" w:type="dxa"/>
            <w:vAlign w:val="bottom"/>
            <w:gridSpan w:val="2"/>
          </w:tcPr>
          <w:p>
            <w:pPr>
              <w:ind w:left="20"/>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5"/>
              </w:rPr>
              <w:t>Certification of Chief Financial Officer pursuant to Exchange Act</w:t>
            </w:r>
          </w:p>
        </w:tc>
        <w:tc>
          <w:tcPr>
            <w:tcW w:w="220" w:type="dxa"/>
            <w:vAlign w:val="bottom"/>
            <w:gridSpan w:val="3"/>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bottom w:val="single" w:sz="8" w:color="0000FF"/>
            </w:tcBorders>
            <w:gridSpan w:val="3"/>
          </w:tcPr>
          <w:p>
            <w:pPr>
              <w:spacing w:after="0" w:line="176" w:lineRule="exact"/>
              <w:rPr>
                <w:sz w:val="20"/>
                <w:szCs w:val="20"/>
                <w:color w:val="auto"/>
              </w:rPr>
            </w:pPr>
            <w:r>
              <w:rPr>
                <w:rFonts w:ascii="Arial" w:cs="Arial" w:eastAsia="Arial" w:hAnsi="Arial"/>
                <w:sz w:val="17"/>
                <w:szCs w:val="17"/>
                <w:color w:val="0000FF"/>
                <w:w w:val="91"/>
              </w:rPr>
              <w:t>Rule 13a-14(a).</w:t>
            </w:r>
          </w:p>
        </w:tc>
        <w:tc>
          <w:tcPr>
            <w:tcW w:w="3720" w:type="dxa"/>
            <w:vAlign w:val="bottom"/>
            <w:gridSpan w:val="12"/>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000" w:type="dxa"/>
            <w:vAlign w:val="bottom"/>
            <w:gridSpan w:val="2"/>
          </w:tcPr>
          <w:p>
            <w:pPr>
              <w:ind w:left="20"/>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0000FF"/>
                <w:w w:val="99"/>
              </w:rPr>
              <w:t>Certification of Principal Executive Officer pursuant to 18 U.S.C.</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top w:val="single" w:sz="8" w:color="0000FF"/>
            </w:tcBorders>
            <w:gridSpan w:val="11"/>
          </w:tcPr>
          <w:p>
            <w:pPr>
              <w:spacing w:after="0" w:line="176" w:lineRule="exact"/>
              <w:rPr>
                <w:sz w:val="20"/>
                <w:szCs w:val="20"/>
                <w:color w:val="auto"/>
              </w:rPr>
            </w:pPr>
            <w:r>
              <w:rPr>
                <w:rFonts w:ascii="Arial" w:cs="Arial" w:eastAsia="Arial" w:hAnsi="Arial"/>
                <w:sz w:val="17"/>
                <w:szCs w:val="17"/>
                <w:color w:val="0000FF"/>
              </w:rPr>
              <w:t>Section 1350.</w:t>
            </w:r>
          </w:p>
        </w:tc>
        <w:tc>
          <w:tcPr>
            <w:tcW w:w="24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gridSpan w:val="2"/>
          </w:tcPr>
          <w:p>
            <w:pPr>
              <w:ind w:left="20"/>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5"/>
              </w:rPr>
              <w:t>Certification of Chief Financial Officer pursuant to 18 U.S.C.</w:t>
            </w:r>
          </w:p>
        </w:tc>
        <w:tc>
          <w:tcPr>
            <w:tcW w:w="520" w:type="dxa"/>
            <w:vAlign w:val="bottom"/>
            <w:gridSpan w:val="7"/>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20" w:type="dxa"/>
            <w:vAlign w:val="bottom"/>
            <w:gridSpan w:val="15"/>
          </w:tcPr>
          <w:p>
            <w:pPr>
              <w:spacing w:after="0" w:line="176" w:lineRule="exact"/>
              <w:rPr>
                <w:sz w:val="20"/>
                <w:szCs w:val="20"/>
                <w:color w:val="auto"/>
              </w:rPr>
            </w:pPr>
            <w:r>
              <w:rPr>
                <w:rFonts w:ascii="Arial" w:cs="Arial" w:eastAsia="Arial" w:hAnsi="Arial"/>
                <w:sz w:val="17"/>
                <w:szCs w:val="17"/>
                <w:color w:val="0000FF"/>
              </w:rPr>
              <w:t>Section 1350.</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86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080" w:type="dxa"/>
            <w:vAlign w:val="bottom"/>
            <w:gridSpan w:val="3"/>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Inline XBRL Instance Document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1080" w:type="dxa"/>
            <w:vAlign w:val="bottom"/>
            <w:gridSpan w:val="3"/>
          </w:tcPr>
          <w:p>
            <w:pPr>
              <w:ind w:left="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1"/>
                <w:szCs w:val="21"/>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Inline XBRL Taxonomy Extension Schema Document</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9"/>
                <w:szCs w:val="19"/>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Inline XBRL Taxonomy Extension Calculation Linkbase</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80" w:type="dxa"/>
            <w:vAlign w:val="bottom"/>
            <w:gridSpan w:val="3"/>
          </w:tcPr>
          <w:p>
            <w:pPr>
              <w:ind w:left="2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1"/>
                <w:szCs w:val="21"/>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w w:val="99"/>
              </w:rPr>
              <w:t>Inline XBRL Taxonomy Extension Definition Linkbase Document</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1080" w:type="dxa"/>
            <w:vAlign w:val="bottom"/>
            <w:gridSpan w:val="3"/>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1"/>
                <w:szCs w:val="21"/>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080" w:type="dxa"/>
            <w:vAlign w:val="bottom"/>
            <w:gridSpan w:val="3"/>
          </w:tcPr>
          <w:p>
            <w:pPr>
              <w:ind w:left="2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19"/>
                <w:szCs w:val="19"/>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gridSpan w:val="2"/>
          </w:tcPr>
          <w:p>
            <w:pPr>
              <w:ind w:left="2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Cover Page Interactive Data File (formatted as Inline XBRL and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15"/>
          </w:tcPr>
          <w:p>
            <w:pPr>
              <w:spacing w:after="0"/>
              <w:rPr>
                <w:sz w:val="20"/>
                <w:szCs w:val="20"/>
                <w:color w:val="auto"/>
              </w:rPr>
            </w:pPr>
            <w:r>
              <w:rPr>
                <w:rFonts w:ascii="Arial" w:cs="Arial" w:eastAsia="Arial" w:hAnsi="Arial"/>
                <w:sz w:val="17"/>
                <w:szCs w:val="17"/>
                <w:color w:val="auto"/>
              </w:rPr>
              <w:t>contained in Exhibit 101)</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480" w:type="dxa"/>
            <w:vAlign w:val="bottom"/>
            <w:gridSpan w:val="9"/>
          </w:tcPr>
          <w:p>
            <w:pPr>
              <w:spacing w:after="0"/>
              <w:rPr>
                <w:sz w:val="20"/>
                <w:szCs w:val="20"/>
                <w:color w:val="auto"/>
              </w:rPr>
            </w:pPr>
            <w:r>
              <w:rPr>
                <w:rFonts w:ascii="Arial" w:cs="Arial" w:eastAsia="Arial" w:hAnsi="Arial"/>
                <w:sz w:val="17"/>
                <w:szCs w:val="17"/>
                <w:color w:val="auto"/>
              </w:rPr>
              <w:t>_____________________________</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5680" w:type="dxa"/>
            <w:vAlign w:val="bottom"/>
            <w:gridSpan w:val="18"/>
          </w:tcPr>
          <w:p>
            <w:pPr>
              <w:ind w:left="20"/>
              <w:spacing w:after="0"/>
              <w:rPr>
                <w:sz w:val="20"/>
                <w:szCs w:val="20"/>
                <w:color w:val="auto"/>
              </w:rPr>
            </w:pPr>
            <w:r>
              <w:rPr>
                <w:rFonts w:ascii="Arial" w:cs="Arial" w:eastAsia="Arial" w:hAnsi="Arial"/>
                <w:sz w:val="17"/>
                <w:szCs w:val="17"/>
                <w:color w:val="auto"/>
              </w:rPr>
              <w:t>Filed herewith.</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5680" w:type="dxa"/>
            <w:vAlign w:val="bottom"/>
            <w:gridSpan w:val="18"/>
          </w:tcPr>
          <w:p>
            <w:pPr>
              <w:ind w:left="120"/>
              <w:spacing w:after="0"/>
              <w:rPr>
                <w:sz w:val="20"/>
                <w:szCs w:val="20"/>
                <w:color w:val="auto"/>
              </w:rPr>
            </w:pPr>
            <w:r>
              <w:rPr>
                <w:rFonts w:ascii="Arial" w:cs="Arial" w:eastAsia="Arial" w:hAnsi="Arial"/>
                <w:sz w:val="17"/>
                <w:szCs w:val="17"/>
                <w:color w:val="auto"/>
              </w:rPr>
              <w:t>Furnished herewith.</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7"/>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14"/>
          </w:tcPr>
          <w:p>
            <w:pPr>
              <w:jc w:val="right"/>
              <w:ind w:right="2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23"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Progyny, Inc.</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w:t>
      </w:r>
    </w:p>
    <w:p>
      <w:pPr>
        <w:spacing w:after="0" w:line="315"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7"/>
          <w:szCs w:val="17"/>
          <w:color w:val="auto"/>
        </w:rPr>
        <w:t>Date: November 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24765</wp:posOffset>
            </wp:positionV>
            <wp:extent cx="3236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236595" cy="8255"/>
                    </a:xfrm>
                    <a:prstGeom prst="rect">
                      <a:avLst/>
                    </a:prstGeom>
                    <a:noFill/>
                  </pic:spPr>
                </pic:pic>
              </a:graphicData>
            </a:graphic>
          </wp:anchor>
        </w:drawing>
      </w:r>
    </w:p>
    <w:p>
      <w:pPr>
        <w:spacing w:after="0" w:line="46" w:lineRule="exact"/>
        <w:rPr>
          <w:sz w:val="20"/>
          <w:szCs w:val="20"/>
          <w:color w:val="auto"/>
        </w:rPr>
      </w:pPr>
    </w:p>
    <w:p>
      <w:pPr>
        <w:ind w:left="8200"/>
        <w:spacing w:after="0"/>
        <w:rPr>
          <w:sz w:val="20"/>
          <w:szCs w:val="20"/>
          <w:color w:val="auto"/>
        </w:rPr>
      </w:pPr>
      <w:r>
        <w:rPr>
          <w:rFonts w:ascii="Arial" w:cs="Arial" w:eastAsia="Arial" w:hAnsi="Arial"/>
          <w:sz w:val="17"/>
          <w:szCs w:val="17"/>
          <w:color w:val="auto"/>
        </w:rPr>
        <w:t>Peter Anevski</w:t>
      </w:r>
    </w:p>
    <w:p>
      <w:pPr>
        <w:spacing w:after="0" w:line="66" w:lineRule="exact"/>
        <w:rPr>
          <w:sz w:val="20"/>
          <w:szCs w:val="20"/>
          <w:color w:val="auto"/>
        </w:rPr>
      </w:pPr>
    </w:p>
    <w:p>
      <w:pPr>
        <w:ind w:left="7860"/>
        <w:spacing w:after="0"/>
        <w:rPr>
          <w:sz w:val="20"/>
          <w:szCs w:val="20"/>
          <w:color w:val="auto"/>
        </w:rPr>
      </w:pPr>
      <w:r>
        <w:rPr>
          <w:rFonts w:ascii="Arial" w:cs="Arial" w:eastAsia="Arial" w:hAnsi="Arial"/>
          <w:sz w:val="17"/>
          <w:szCs w:val="17"/>
          <w:color w:val="auto"/>
        </w:rPr>
        <w:t>Chief Executive Officer</w:t>
      </w:r>
    </w:p>
    <w:p>
      <w:pPr>
        <w:spacing w:after="0" w:line="26"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315"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7"/>
          <w:szCs w:val="17"/>
          <w:color w:val="auto"/>
        </w:rPr>
        <w:t>Date: November 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24765</wp:posOffset>
            </wp:positionV>
            <wp:extent cx="32365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236595" cy="8255"/>
                    </a:xfrm>
                    <a:prstGeom prst="rect">
                      <a:avLst/>
                    </a:prstGeom>
                    <a:noFill/>
                  </pic:spPr>
                </pic:pic>
              </a:graphicData>
            </a:graphic>
          </wp:anchor>
        </w:drawing>
      </w:r>
    </w:p>
    <w:p>
      <w:pPr>
        <w:spacing w:after="0" w:line="46" w:lineRule="exact"/>
        <w:rPr>
          <w:sz w:val="20"/>
          <w:szCs w:val="20"/>
          <w:color w:val="auto"/>
        </w:rPr>
      </w:pPr>
    </w:p>
    <w:p>
      <w:pPr>
        <w:ind w:left="8100"/>
        <w:spacing w:after="0"/>
        <w:rPr>
          <w:sz w:val="20"/>
          <w:szCs w:val="20"/>
          <w:color w:val="auto"/>
        </w:rPr>
      </w:pPr>
      <w:r>
        <w:rPr>
          <w:rFonts w:ascii="Arial" w:cs="Arial" w:eastAsia="Arial" w:hAnsi="Arial"/>
          <w:sz w:val="17"/>
          <w:szCs w:val="17"/>
          <w:color w:val="auto"/>
        </w:rPr>
        <w:t>Mark Livingston</w:t>
      </w:r>
    </w:p>
    <w:p>
      <w:pPr>
        <w:spacing w:after="0" w:line="66"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Chief Financial Officer</w:t>
      </w:r>
    </w:p>
    <w:p>
      <w:pPr>
        <w:spacing w:after="0" w:line="26"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25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Peter Anevski, certify that:</w:t>
      </w:r>
    </w:p>
    <w:p>
      <w:pPr>
        <w:spacing w:after="0" w:line="223" w:lineRule="exact"/>
        <w:rPr>
          <w:sz w:val="20"/>
          <w:szCs w:val="20"/>
          <w:color w:val="auto"/>
        </w:rPr>
      </w:pPr>
    </w:p>
    <w:p>
      <w:pPr>
        <w:ind w:left="640" w:hanging="322"/>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Progyny, Inc.;</w:t>
      </w:r>
    </w:p>
    <w:p>
      <w:pPr>
        <w:spacing w:after="0" w:line="222" w:lineRule="exact"/>
        <w:rPr>
          <w:rFonts w:ascii="Arial" w:cs="Arial" w:eastAsia="Arial" w:hAnsi="Arial"/>
          <w:sz w:val="17"/>
          <w:szCs w:val="17"/>
          <w:color w:val="auto"/>
        </w:rPr>
      </w:pPr>
    </w:p>
    <w:p>
      <w:pPr>
        <w:jc w:val="both"/>
        <w:ind w:left="640" w:right="480" w:hanging="322"/>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ind w:left="640" w:right="440" w:hanging="322"/>
        <w:spacing w:after="0" w:line="288"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40" w:right="60" w:hanging="322"/>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940" w:right="420" w:hanging="308"/>
        <w:spacing w:after="0" w:line="272" w:lineRule="auto"/>
        <w:tabs>
          <w:tab w:leader="none" w:pos="9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940" w:right="880" w:hanging="308"/>
        <w:spacing w:after="0" w:line="358" w:lineRule="auto"/>
        <w:tabs>
          <w:tab w:leader="none" w:pos="937"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940" w:right="140" w:hanging="308"/>
        <w:spacing w:after="0" w:line="272" w:lineRule="auto"/>
        <w:tabs>
          <w:tab w:leader="none" w:pos="9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640" w:right="180" w:hanging="322"/>
        <w:spacing w:after="0" w:line="321"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940" w:right="320" w:hanging="308"/>
        <w:spacing w:after="0" w:line="288" w:lineRule="auto"/>
        <w:tabs>
          <w:tab w:leader="none" w:pos="9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4440" w:val="left"/>
          <w:tab w:leader="none" w:pos="7520" w:val="left"/>
        </w:tabs>
        <w:rPr>
          <w:sz w:val="20"/>
          <w:szCs w:val="20"/>
          <w:color w:val="auto"/>
        </w:rPr>
      </w:pPr>
      <w:r>
        <w:rPr>
          <w:rFonts w:ascii="Arial" w:cs="Arial" w:eastAsia="Arial" w:hAnsi="Arial"/>
          <w:sz w:val="17"/>
          <w:szCs w:val="17"/>
          <w:color w:val="auto"/>
        </w:rPr>
        <w:t>Date: November 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24765</wp:posOffset>
            </wp:positionV>
            <wp:extent cx="39585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958590" cy="8255"/>
                    </a:xfrm>
                    <a:prstGeom prst="rect">
                      <a:avLst/>
                    </a:prstGeom>
                    <a:noFill/>
                  </pic:spPr>
                </pic:pic>
              </a:graphicData>
            </a:graphic>
          </wp:anchor>
        </w:drawing>
      </w:r>
    </w:p>
    <w:p>
      <w:pPr>
        <w:spacing w:after="0" w:line="46"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Peter Anevski</w:t>
      </w:r>
    </w:p>
    <w:p>
      <w:pPr>
        <w:spacing w:after="0" w:line="66"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Executive Chief Officer</w:t>
      </w:r>
    </w:p>
    <w:p>
      <w:pPr>
        <w:spacing w:after="0" w:line="26" w:lineRule="exact"/>
        <w:rPr>
          <w:sz w:val="20"/>
          <w:szCs w:val="20"/>
          <w:color w:val="auto"/>
        </w:rPr>
      </w:pPr>
    </w:p>
    <w:p>
      <w:pPr>
        <w:ind w:left="716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111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Mark Livingston, certify that:</w:t>
      </w:r>
    </w:p>
    <w:p>
      <w:pPr>
        <w:spacing w:after="0" w:line="223" w:lineRule="exact"/>
        <w:rPr>
          <w:sz w:val="20"/>
          <w:szCs w:val="20"/>
          <w:color w:val="auto"/>
        </w:rPr>
      </w:pPr>
    </w:p>
    <w:p>
      <w:pPr>
        <w:ind w:left="640" w:hanging="322"/>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Progyny, Inc.;</w:t>
      </w:r>
    </w:p>
    <w:p>
      <w:pPr>
        <w:spacing w:after="0" w:line="222" w:lineRule="exact"/>
        <w:rPr>
          <w:rFonts w:ascii="Arial" w:cs="Arial" w:eastAsia="Arial" w:hAnsi="Arial"/>
          <w:sz w:val="17"/>
          <w:szCs w:val="17"/>
          <w:color w:val="auto"/>
        </w:rPr>
      </w:pPr>
    </w:p>
    <w:p>
      <w:pPr>
        <w:jc w:val="both"/>
        <w:ind w:left="640" w:right="480" w:hanging="322"/>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ind w:left="640" w:right="440" w:hanging="322"/>
        <w:spacing w:after="0" w:line="28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40" w:right="60" w:hanging="322"/>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940" w:right="420" w:hanging="308"/>
        <w:spacing w:after="0" w:line="272" w:lineRule="auto"/>
        <w:tabs>
          <w:tab w:leader="none" w:pos="9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940" w:right="880" w:hanging="308"/>
        <w:spacing w:after="0" w:line="358" w:lineRule="auto"/>
        <w:tabs>
          <w:tab w:leader="none" w:pos="937"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940" w:right="140" w:hanging="308"/>
        <w:spacing w:after="0" w:line="272" w:lineRule="auto"/>
        <w:tabs>
          <w:tab w:leader="none" w:pos="9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640" w:right="180" w:hanging="322"/>
        <w:spacing w:after="0" w:line="321"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940" w:right="320" w:hanging="308"/>
        <w:spacing w:after="0" w:line="288" w:lineRule="auto"/>
        <w:tabs>
          <w:tab w:leader="none" w:pos="9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4860" w:val="left"/>
          <w:tab w:leader="none" w:pos="7620" w:val="left"/>
        </w:tabs>
        <w:rPr>
          <w:sz w:val="20"/>
          <w:szCs w:val="20"/>
          <w:color w:val="auto"/>
        </w:rPr>
      </w:pPr>
      <w:r>
        <w:rPr>
          <w:rFonts w:ascii="Arial" w:cs="Arial" w:eastAsia="Arial" w:hAnsi="Arial"/>
          <w:sz w:val="17"/>
          <w:szCs w:val="17"/>
          <w:color w:val="auto"/>
        </w:rPr>
        <w:t>Date: November 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24765</wp:posOffset>
            </wp:positionV>
            <wp:extent cx="37096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709670" cy="8255"/>
                    </a:xfrm>
                    <a:prstGeom prst="rect">
                      <a:avLst/>
                    </a:prstGeom>
                    <a:noFill/>
                  </pic:spPr>
                </pic:pic>
              </a:graphicData>
            </a:graphic>
          </wp:anchor>
        </w:drawing>
      </w:r>
    </w:p>
    <w:p>
      <w:pPr>
        <w:spacing w:after="0" w:line="46"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Mark Livingston</w:t>
      </w:r>
    </w:p>
    <w:p>
      <w:pPr>
        <w:spacing w:after="0" w:line="66"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Chief Financial Officer</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ectPr>
          <w:pgSz w:w="11900" w:h="16838" w:orient="portrait"/>
          <w:cols w:equalWidth="0" w:num="1">
            <w:col w:w="11240"/>
          </w:cols>
          <w:pgMar w:left="320" w:top="111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ind w:right="240" w:firstLine="427"/>
        <w:spacing w:after="0" w:line="272" w:lineRule="auto"/>
        <w:rPr>
          <w:sz w:val="20"/>
          <w:szCs w:val="20"/>
          <w:color w:val="auto"/>
        </w:rPr>
      </w:pPr>
      <w:r>
        <w:rPr>
          <w:rFonts w:ascii="Arial" w:cs="Arial" w:eastAsia="Arial" w:hAnsi="Arial"/>
          <w:sz w:val="17"/>
          <w:szCs w:val="17"/>
          <w:color w:val="auto"/>
        </w:rPr>
        <w:t>In connection with the Quarterly Report on Form 10-Q of Progyny, Inc. (the “Company”) for the period ended September 30, 2023 as filed with the Securities and Exchange Commission on the date hereof (the “Report”), I certify, pursuant to 18 U.S.C. § 1350, as adopted pursuant to § 906 of the Sarbanes-Oxley Act of 2002, that, to my knowledge:</w:t>
      </w:r>
    </w:p>
    <w:p>
      <w:pPr>
        <w:spacing w:after="0" w:line="172" w:lineRule="exact"/>
        <w:rPr>
          <w:sz w:val="20"/>
          <w:szCs w:val="20"/>
          <w:color w:val="auto"/>
        </w:rPr>
      </w:pPr>
    </w:p>
    <w:p>
      <w:pPr>
        <w:ind w:left="620" w:hanging="302"/>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6" w:lineRule="exact"/>
        <w:rPr>
          <w:sz w:val="20"/>
          <w:szCs w:val="20"/>
          <w:color w:val="auto"/>
        </w:rPr>
      </w:pPr>
    </w:p>
    <w:p>
      <w:pPr>
        <w:ind w:left="20"/>
        <w:spacing w:after="0"/>
        <w:tabs>
          <w:tab w:leader="none" w:pos="4600" w:val="left"/>
          <w:tab w:leader="none" w:pos="7540" w:val="left"/>
        </w:tabs>
        <w:rPr>
          <w:sz w:val="20"/>
          <w:szCs w:val="20"/>
          <w:color w:val="auto"/>
        </w:rPr>
      </w:pPr>
      <w:r>
        <w:rPr>
          <w:rFonts w:ascii="Arial" w:cs="Arial" w:eastAsia="Arial" w:hAnsi="Arial"/>
          <w:sz w:val="17"/>
          <w:szCs w:val="17"/>
          <w:color w:val="auto"/>
        </w:rPr>
        <w:t>Date: November 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24765</wp:posOffset>
            </wp:positionV>
            <wp:extent cx="39249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3924935" cy="8255"/>
                    </a:xfrm>
                    <a:prstGeom prst="rect">
                      <a:avLst/>
                    </a:prstGeom>
                    <a:noFill/>
                  </pic:spPr>
                </pic:pic>
              </a:graphicData>
            </a:graphic>
          </wp:anchor>
        </w:drawing>
      </w:r>
    </w:p>
    <w:p>
      <w:pPr>
        <w:spacing w:after="0" w:line="46"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Peter Anevski</w:t>
      </w:r>
    </w:p>
    <w:p>
      <w:pPr>
        <w:spacing w:after="0" w:line="66"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Chief Executive Officer</w:t>
      </w:r>
    </w:p>
    <w:p>
      <w:pPr>
        <w:spacing w:after="0" w:line="26"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ectPr>
          <w:pgSz w:w="11900" w:h="16838" w:orient="portrait"/>
          <w:cols w:equalWidth="0" w:num="1">
            <w:col w:w="11240"/>
          </w:cols>
          <w:pgMar w:left="320" w:top="111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ind w:right="240" w:firstLine="427"/>
        <w:spacing w:after="0" w:line="272" w:lineRule="auto"/>
        <w:rPr>
          <w:sz w:val="20"/>
          <w:szCs w:val="20"/>
          <w:color w:val="auto"/>
        </w:rPr>
      </w:pPr>
      <w:r>
        <w:rPr>
          <w:rFonts w:ascii="Arial" w:cs="Arial" w:eastAsia="Arial" w:hAnsi="Arial"/>
          <w:sz w:val="17"/>
          <w:szCs w:val="17"/>
          <w:color w:val="auto"/>
        </w:rPr>
        <w:t>In connection with the Quarterly Report on Form 10-Q of Progyny, Inc. (the “Company”) for the period ended September 30, 2023 as filed with the Securities and Exchange Commission on the date hereof (the “Report”), I certify, pursuant to 18 U.S.C. § 1350, as adopted pursuant to § 906 of the Sarbanes-Oxley Act of 2002, that, to my knowledge:</w:t>
      </w:r>
    </w:p>
    <w:p>
      <w:pPr>
        <w:spacing w:after="0" w:line="172" w:lineRule="exact"/>
        <w:rPr>
          <w:sz w:val="20"/>
          <w:szCs w:val="20"/>
          <w:color w:val="auto"/>
        </w:rPr>
      </w:pPr>
    </w:p>
    <w:p>
      <w:pPr>
        <w:ind w:left="620" w:hanging="302"/>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2" w:lineRule="exact"/>
        <w:rPr>
          <w:rFonts w:ascii="Arial" w:cs="Arial" w:eastAsia="Arial" w:hAnsi="Arial"/>
          <w:sz w:val="17"/>
          <w:szCs w:val="17"/>
          <w:color w:val="auto"/>
        </w:rPr>
      </w:pPr>
    </w:p>
    <w:p>
      <w:pPr>
        <w:ind w:left="620" w:hanging="302"/>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6" w:lineRule="exact"/>
        <w:rPr>
          <w:sz w:val="20"/>
          <w:szCs w:val="20"/>
          <w:color w:val="auto"/>
        </w:rPr>
      </w:pPr>
    </w:p>
    <w:p>
      <w:pPr>
        <w:ind w:left="20"/>
        <w:spacing w:after="0"/>
        <w:tabs>
          <w:tab w:leader="none" w:pos="4620" w:val="left"/>
          <w:tab w:leader="none" w:pos="7460" w:val="left"/>
        </w:tabs>
        <w:rPr>
          <w:sz w:val="20"/>
          <w:szCs w:val="20"/>
          <w:color w:val="auto"/>
        </w:rPr>
      </w:pPr>
      <w:r>
        <w:rPr>
          <w:rFonts w:ascii="Arial" w:cs="Arial" w:eastAsia="Arial" w:hAnsi="Arial"/>
          <w:sz w:val="17"/>
          <w:szCs w:val="17"/>
          <w:color w:val="auto"/>
        </w:rPr>
        <w:t>Date: November 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24765</wp:posOffset>
            </wp:positionV>
            <wp:extent cx="39084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908425" cy="8255"/>
                    </a:xfrm>
                    <a:prstGeom prst="rect">
                      <a:avLst/>
                    </a:prstGeom>
                    <a:noFill/>
                  </pic:spPr>
                </pic:pic>
              </a:graphicData>
            </a:graphic>
          </wp:anchor>
        </w:drawing>
      </w:r>
    </w:p>
    <w:p>
      <w:pPr>
        <w:spacing w:after="0" w:line="46"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Mark Livingston</w:t>
      </w:r>
    </w:p>
    <w:p>
      <w:pPr>
        <w:spacing w:after="0" w:line="66"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Chief Financial Officer</w:t>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p>
    <w:sectPr>
      <w:pgSz w:w="11900" w:h="16838" w:orient="portrait"/>
      <w:cols w:equalWidth="0" w:num="1">
        <w:col w:w="11240"/>
      </w:cols>
      <w:pgMar w:left="320" w:top="1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3"/>
    </w:lvl>
  </w:abstractNum>
  <w:abstractNum w:abstractNumId="8">
    <w:nsid w:val="2D1D5AE9"/>
    <w:multiLevelType w:val="hybridMultilevel"/>
    <w:lvl w:ilvl="0">
      <w:lvlJc w:val="left"/>
      <w:lvlText w:val="%1."/>
      <w:numFmt w:val="decimal"/>
      <w:start w:val="4"/>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6"/>
    </w:lvl>
  </w:abstractNum>
  <w:abstractNum w:abstractNumId="11">
    <w:nsid w:val="8EDBDAB"/>
    <w:multiLevelType w:val="hybridMultilevel"/>
    <w:lvl w:ilvl="0">
      <w:lvlJc w:val="left"/>
      <w:lvlText w:val="%1."/>
      <w:numFmt w:val="decimal"/>
      <w:start w:val="7"/>
    </w:lvl>
  </w:abstractNum>
  <w:abstractNum w:abstractNumId="12">
    <w:nsid w:val="79838CB2"/>
    <w:multiLevelType w:val="hybridMultilevel"/>
    <w:lvl w:ilvl="0">
      <w:lvlJc w:val="left"/>
      <w:lvlText w:val="%1."/>
      <w:numFmt w:val="decimal"/>
      <w:start w:val="8"/>
    </w:lvl>
  </w:abstractNum>
  <w:abstractNum w:abstractNumId="13">
    <w:nsid w:val="4353D0CD"/>
    <w:multiLevelType w:val="hybridMultilevel"/>
    <w:lvl w:ilvl="0">
      <w:lvlJc w:val="left"/>
      <w:lvlText w:val="%1."/>
      <w:numFmt w:val="decimal"/>
      <w:start w:val="9"/>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4"/>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82" Type="http://schemas.openxmlformats.org/officeDocument/2006/relationships/hyperlink" Target="http://www.sec.gov/Archives/edgar/data/1551306/000110465919058484/a19-21599_1ex3d1.htm" TargetMode="External"/><Relationship Id="rId83" Type="http://schemas.openxmlformats.org/officeDocument/2006/relationships/hyperlink" Target="http://www.sec.gov/Archives/edgar/data/1551306/000104746919005487/a2239750zex-3_4.htm" TargetMode="External"/><Relationship Id="rId84" Type="http://schemas.openxmlformats.org/officeDocument/2006/relationships/hyperlink" Target="http://www.sec.gov/Archives/edgar/data/1551306/000104746919005727/a2239825zex-4_1.htm" TargetMode="External"/><Relationship Id="rId85" Type="http://schemas.openxmlformats.org/officeDocument/2006/relationships/hyperlink" Target="http://www.sec.gov/Archives/edgar/data/1551306/000104746919005727/a2239825zex-4_2.htm" TargetMode="External"/><Relationship Id="rId86" Type="http://schemas.openxmlformats.org/officeDocument/2006/relationships/hyperlink" Target="http://www.sec.gov/Archives/edgar/data/1551306/000104746919005727/a2239825zex-4_3.htm" TargetMode="External"/><Relationship Id="rId87" Type="http://schemas.openxmlformats.org/officeDocument/2006/relationships/hyperlink" Target="http://www.sec.gov/Archives/edgar/data/1551306/000104746919005727/a2239825zex-4_4.htm" TargetMode="External"/><Relationship Id="rId88"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2023-11-08T07:46:27Z</dcterms:created>
  <dcterms:modified xsi:type="dcterms:W3CDTF">2023-11-08T07:46:27Z</dcterms:modified>
</cp:coreProperties>
</file>