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81915</wp:posOffset>
            </wp:positionH>
            <wp:positionV relativeFrom="paragraph">
              <wp:posOffset>608965</wp:posOffset>
            </wp:positionV>
            <wp:extent cx="6986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81915</wp:posOffset>
            </wp:positionH>
            <wp:positionV relativeFrom="paragraph">
              <wp:posOffset>548640</wp:posOffset>
            </wp:positionV>
            <wp:extent cx="698627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8627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47625</wp:posOffset>
            </wp:positionV>
            <wp:extent cx="17316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9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78105</wp:posOffset>
            </wp:positionV>
            <wp:extent cx="17316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0"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1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0"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___________________ to ___________________</w:t>
      </w:r>
    </w:p>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67945</wp:posOffset>
            </wp:positionV>
            <wp:extent cx="17316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Progyny, Inc.</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2705100</wp:posOffset>
            </wp:positionH>
            <wp:positionV relativeFrom="paragraph">
              <wp:posOffset>107950</wp:posOffset>
            </wp:positionV>
            <wp:extent cx="17316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8255"/>
                    </a:xfrm>
                    <a:prstGeom prst="rect">
                      <a:avLst/>
                    </a:prstGeom>
                    <a:noFill/>
                  </pic:spPr>
                </pic:pic>
              </a:graphicData>
            </a:graphic>
          </wp:anchor>
        </w:drawing>
      </w:r>
    </w:p>
    <w:p>
      <w:pPr>
        <w:spacing w:after="0" w:line="278" w:lineRule="exact"/>
        <w:rPr>
          <w:sz w:val="24"/>
          <w:szCs w:val="24"/>
          <w:color w:val="auto"/>
        </w:rPr>
      </w:pPr>
    </w:p>
    <w:tbl>
      <w:tblPr>
        <w:tblLayout w:type="fixed"/>
        <w:tblInd w:w="1760" w:type="dxa"/>
        <w:tblCellMar>
          <w:top w:w="0" w:type="dxa"/>
          <w:left w:w="0" w:type="dxa"/>
          <w:bottom w:w="0" w:type="dxa"/>
          <w:right w:w="0" w:type="dxa"/>
        </w:tblCellMar>
      </w:tblPr>
      <w:tr>
        <w:trPr>
          <w:trHeight w:val="166"/>
        </w:trPr>
        <w:tc>
          <w:tcPr>
            <w:tcW w:w="4120" w:type="dxa"/>
            <w:vAlign w:val="bottom"/>
          </w:tcPr>
          <w:p>
            <w:pPr>
              <w:jc w:val="center"/>
              <w:ind w:right="1977"/>
              <w:spacing w:after="0"/>
              <w:rPr>
                <w:sz w:val="20"/>
                <w:szCs w:val="20"/>
                <w:color w:val="auto"/>
              </w:rPr>
            </w:pPr>
            <w:r>
              <w:rPr>
                <w:rFonts w:ascii="Times New Roman" w:cs="Times New Roman" w:eastAsia="Times New Roman" w:hAnsi="Times New Roman"/>
                <w:sz w:val="13"/>
                <w:szCs w:val="13"/>
                <w:b w:val="1"/>
                <w:bCs w:val="1"/>
                <w:color w:val="auto"/>
                <w:w w:val="98"/>
              </w:rPr>
              <w:t>Delaware</w:t>
            </w:r>
          </w:p>
        </w:tc>
        <w:tc>
          <w:tcPr>
            <w:tcW w:w="30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27-2220139</w:t>
            </w:r>
          </w:p>
        </w:tc>
        <w:tc>
          <w:tcPr>
            <w:tcW w:w="0" w:type="dxa"/>
            <w:vAlign w:val="bottom"/>
          </w:tcPr>
          <w:p>
            <w:pPr>
              <w:spacing w:after="0"/>
              <w:rPr>
                <w:sz w:val="1"/>
                <w:szCs w:val="1"/>
                <w:color w:val="auto"/>
              </w:rPr>
            </w:pPr>
          </w:p>
        </w:tc>
      </w:tr>
      <w:tr>
        <w:trPr>
          <w:trHeight w:val="185"/>
        </w:trPr>
        <w:tc>
          <w:tcPr>
            <w:tcW w:w="4120" w:type="dxa"/>
            <w:vAlign w:val="bottom"/>
          </w:tcPr>
          <w:p>
            <w:pPr>
              <w:jc w:val="center"/>
              <w:ind w:right="1977"/>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 of</w:t>
            </w:r>
          </w:p>
        </w:tc>
        <w:tc>
          <w:tcPr>
            <w:tcW w:w="30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c>
          <w:tcPr>
            <w:tcW w:w="0" w:type="dxa"/>
            <w:vAlign w:val="bottom"/>
          </w:tcPr>
          <w:p>
            <w:pPr>
              <w:spacing w:after="0"/>
              <w:rPr>
                <w:sz w:val="1"/>
                <w:szCs w:val="1"/>
                <w:color w:val="auto"/>
              </w:rPr>
            </w:pPr>
          </w:p>
        </w:tc>
      </w:tr>
      <w:tr>
        <w:trPr>
          <w:trHeight w:val="166"/>
        </w:trPr>
        <w:tc>
          <w:tcPr>
            <w:tcW w:w="4120" w:type="dxa"/>
            <w:vAlign w:val="bottom"/>
          </w:tcPr>
          <w:p>
            <w:pPr>
              <w:jc w:val="center"/>
              <w:ind w:right="1977"/>
              <w:spacing w:after="0"/>
              <w:rPr>
                <w:sz w:val="20"/>
                <w:szCs w:val="20"/>
                <w:color w:val="auto"/>
              </w:rPr>
            </w:pPr>
            <w:r>
              <w:rPr>
                <w:rFonts w:ascii="Times New Roman" w:cs="Times New Roman" w:eastAsia="Times New Roman" w:hAnsi="Times New Roman"/>
                <w:sz w:val="13"/>
                <w:szCs w:val="13"/>
                <w:b w:val="1"/>
                <w:bCs w:val="1"/>
                <w:color w:val="auto"/>
                <w:w w:val="96"/>
              </w:rPr>
              <w:t>incorporation or organization)</w:t>
            </w:r>
          </w:p>
        </w:tc>
        <w:tc>
          <w:tcPr>
            <w:tcW w:w="30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c>
          <w:tcPr>
            <w:tcW w:w="0" w:type="dxa"/>
            <w:vAlign w:val="bottom"/>
          </w:tcPr>
          <w:p>
            <w:pPr>
              <w:spacing w:after="0"/>
              <w:rPr>
                <w:sz w:val="1"/>
                <w:szCs w:val="1"/>
                <w:color w:val="auto"/>
              </w:rPr>
            </w:pPr>
          </w:p>
        </w:tc>
      </w:tr>
      <w:tr>
        <w:trPr>
          <w:trHeight w:val="171"/>
        </w:trPr>
        <w:tc>
          <w:tcPr>
            <w:tcW w:w="4120" w:type="dxa"/>
            <w:vAlign w:val="bottom"/>
          </w:tcPr>
          <w:p>
            <w:pPr>
              <w:jc w:val="center"/>
              <w:ind w:right="1977"/>
              <w:spacing w:after="0"/>
              <w:rPr>
                <w:sz w:val="20"/>
                <w:szCs w:val="20"/>
                <w:color w:val="auto"/>
              </w:rPr>
            </w:pPr>
            <w:r>
              <w:rPr>
                <w:rFonts w:ascii="Times New Roman" w:cs="Times New Roman" w:eastAsia="Times New Roman" w:hAnsi="Times New Roman"/>
                <w:sz w:val="13"/>
                <w:szCs w:val="13"/>
                <w:b w:val="1"/>
                <w:bCs w:val="1"/>
                <w:color w:val="auto"/>
                <w:w w:val="97"/>
              </w:rPr>
              <w:t>1359 Broadway</w:t>
            </w:r>
          </w:p>
        </w:tc>
        <w:tc>
          <w:tcPr>
            <w:tcW w:w="3020" w:type="dxa"/>
            <w:vAlign w:val="bottom"/>
            <w:vMerge w:val="restart"/>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10018</w:t>
            </w:r>
          </w:p>
        </w:tc>
        <w:tc>
          <w:tcPr>
            <w:tcW w:w="0" w:type="dxa"/>
            <w:vAlign w:val="bottom"/>
          </w:tcPr>
          <w:p>
            <w:pPr>
              <w:spacing w:after="0"/>
              <w:rPr>
                <w:sz w:val="1"/>
                <w:szCs w:val="1"/>
                <w:color w:val="auto"/>
              </w:rPr>
            </w:pPr>
          </w:p>
        </w:tc>
      </w:tr>
      <w:tr>
        <w:trPr>
          <w:trHeight w:val="166"/>
        </w:trPr>
        <w:tc>
          <w:tcPr>
            <w:tcW w:w="4120" w:type="dxa"/>
            <w:vAlign w:val="bottom"/>
          </w:tcPr>
          <w:p>
            <w:pPr>
              <w:jc w:val="center"/>
              <w:ind w:right="1977"/>
              <w:spacing w:after="0"/>
              <w:rPr>
                <w:sz w:val="20"/>
                <w:szCs w:val="20"/>
                <w:color w:val="auto"/>
              </w:rPr>
            </w:pPr>
            <w:r>
              <w:rPr>
                <w:rFonts w:ascii="Times New Roman" w:cs="Times New Roman" w:eastAsia="Times New Roman" w:hAnsi="Times New Roman"/>
                <w:sz w:val="13"/>
                <w:szCs w:val="13"/>
                <w:b w:val="1"/>
                <w:bCs w:val="1"/>
                <w:color w:val="auto"/>
                <w:w w:val="93"/>
              </w:rPr>
              <w:t>New York, New York</w:t>
            </w:r>
          </w:p>
        </w:tc>
        <w:tc>
          <w:tcPr>
            <w:tcW w:w="3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tcPr>
          <w:p>
            <w:pPr>
              <w:jc w:val="center"/>
              <w:ind w:right="197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020" w:type="dxa"/>
            <w:vAlign w:val="bottom"/>
          </w:tcPr>
          <w:p>
            <w:pPr>
              <w:jc w:val="center"/>
              <w:ind w:left="1977"/>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(212) 888-3124</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2739390</wp:posOffset>
            </wp:positionH>
            <wp:positionV relativeFrom="paragraph">
              <wp:posOffset>53340</wp:posOffset>
            </wp:positionV>
            <wp:extent cx="16630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2343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368300"/>
                    </a:xfrm>
                    <a:prstGeom prst="rect">
                      <a:avLst/>
                    </a:prstGeom>
                    <a:noFill/>
                  </pic:spPr>
                </pic:pic>
              </a:graphicData>
            </a:graphic>
          </wp:anchor>
        </w:drawing>
      </w:r>
    </w:p>
    <w:p>
      <w:pPr>
        <w:spacing w:after="0" w:line="114"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3800" w:type="dxa"/>
            <w:vAlign w:val="bottom"/>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8"/>
              </w:rPr>
              <w:t>Title of each class</w:t>
            </w:r>
          </w:p>
        </w:tc>
        <w:tc>
          <w:tcPr>
            <w:tcW w:w="3140" w:type="dxa"/>
            <w:vAlign w:val="bottom"/>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428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5"/>
              </w:rPr>
              <w:t>Name of each exchange on which registered</w:t>
            </w:r>
          </w:p>
        </w:tc>
      </w:tr>
      <w:tr>
        <w:trPr>
          <w:trHeight w:val="30"/>
        </w:trPr>
        <w:tc>
          <w:tcPr>
            <w:tcW w:w="38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r>
        <w:trPr>
          <w:trHeight w:val="151"/>
        </w:trPr>
        <w:tc>
          <w:tcPr>
            <w:tcW w:w="3800" w:type="dxa"/>
            <w:vAlign w:val="bottom"/>
          </w:tcPr>
          <w:p>
            <w:pPr>
              <w:jc w:val="center"/>
              <w:ind w:left="337"/>
              <w:spacing w:after="0"/>
              <w:rPr>
                <w:sz w:val="20"/>
                <w:szCs w:val="20"/>
                <w:color w:val="auto"/>
              </w:rPr>
            </w:pPr>
            <w:r>
              <w:rPr>
                <w:rFonts w:ascii="Times New Roman" w:cs="Times New Roman" w:eastAsia="Times New Roman" w:hAnsi="Times New Roman"/>
                <w:sz w:val="13"/>
                <w:szCs w:val="13"/>
                <w:color w:val="auto"/>
                <w:w w:val="94"/>
              </w:rPr>
              <w:t>Common Stock,</w:t>
            </w:r>
          </w:p>
        </w:tc>
        <w:tc>
          <w:tcPr>
            <w:tcW w:w="3140" w:type="dxa"/>
            <w:vAlign w:val="bottom"/>
          </w:tcPr>
          <w:p>
            <w:pPr>
              <w:jc w:val="center"/>
              <w:ind w:left="257"/>
              <w:spacing w:after="0"/>
              <w:rPr>
                <w:sz w:val="20"/>
                <w:szCs w:val="20"/>
                <w:color w:val="auto"/>
              </w:rPr>
            </w:pPr>
            <w:r>
              <w:rPr>
                <w:rFonts w:ascii="Times New Roman" w:cs="Times New Roman" w:eastAsia="Times New Roman" w:hAnsi="Times New Roman"/>
                <w:sz w:val="13"/>
                <w:szCs w:val="13"/>
                <w:color w:val="auto"/>
                <w:w w:val="95"/>
              </w:rPr>
              <w:t>PGNY</w:t>
            </w:r>
          </w:p>
        </w:tc>
        <w:tc>
          <w:tcPr>
            <w:tcW w:w="428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r>
    </w:tbl>
    <w:p>
      <w:pPr>
        <w:ind w:left="1400"/>
        <w:spacing w:after="0"/>
        <w:rPr>
          <w:sz w:val="20"/>
          <w:szCs w:val="20"/>
          <w:color w:val="auto"/>
        </w:rPr>
      </w:pPr>
      <w:r>
        <w:rPr>
          <w:rFonts w:ascii="Times New Roman" w:cs="Times New Roman" w:eastAsia="Times New Roman" w:hAnsi="Times New Roman"/>
          <w:sz w:val="13"/>
          <w:szCs w:val="13"/>
          <w:color w:val="auto"/>
        </w:rPr>
        <w:t>$0.0001 par value per share</w:t>
      </w:r>
    </w:p>
    <w:p>
      <w:pPr>
        <w:spacing w:after="0" w:line="186"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p>
      <w:pPr>
        <w:spacing w:after="0" w:line="40"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94" w:lineRule="exact"/>
        <w:rPr>
          <w:sz w:val="24"/>
          <w:szCs w:val="24"/>
          <w:color w:val="auto"/>
        </w:rPr>
      </w:pPr>
    </w:p>
    <w:p>
      <w:pPr>
        <w:ind w:left="50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136" w:lineRule="exact"/>
        <w:rPr>
          <w:sz w:val="24"/>
          <w:szCs w:val="24"/>
          <w:color w:val="auto"/>
        </w:rPr>
      </w:pPr>
    </w:p>
    <w:p>
      <w:pPr>
        <w:jc w:val="both"/>
        <w:ind w:firstLine="486"/>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jc w:val="both"/>
        <w:ind w:right="20" w:firstLine="486"/>
        <w:spacing w:after="0" w:line="16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73" w:lineRule="exact"/>
        <w:rPr>
          <w:sz w:val="24"/>
          <w:szCs w:val="24"/>
          <w:color w:val="auto"/>
        </w:rPr>
      </w:pPr>
    </w:p>
    <w:p>
      <w:pPr>
        <w:jc w:val="both"/>
        <w:ind w:right="20" w:firstLine="486"/>
        <w:spacing w:after="0" w:line="258"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440" w:type="dxa"/>
        <w:tblCellMar>
          <w:top w:w="0" w:type="dxa"/>
          <w:left w:w="0" w:type="dxa"/>
          <w:bottom w:w="0" w:type="dxa"/>
          <w:right w:w="0" w:type="dxa"/>
        </w:tblCellMar>
      </w:tblPr>
      <w:tr>
        <w:trPr>
          <w:trHeight w:val="203"/>
        </w:trPr>
        <w:tc>
          <w:tcPr>
            <w:tcW w:w="1920" w:type="dxa"/>
            <w:vAlign w:val="bottom"/>
          </w:tcPr>
          <w:p>
            <w:pPr>
              <w:jc w:val="center"/>
              <w:ind w:right="717"/>
              <w:spacing w:after="0"/>
              <w:rPr>
                <w:sz w:val="20"/>
                <w:szCs w:val="20"/>
                <w:color w:val="auto"/>
              </w:rPr>
            </w:pPr>
            <w:r>
              <w:rPr>
                <w:rFonts w:ascii="Times New Roman" w:cs="Times New Roman" w:eastAsia="Times New Roman" w:hAnsi="Times New Roman"/>
                <w:sz w:val="13"/>
                <w:szCs w:val="13"/>
                <w:color w:val="auto"/>
                <w:w w:val="97"/>
              </w:rPr>
              <w:t>Large accelerated filer</w:t>
            </w:r>
          </w:p>
        </w:tc>
        <w:tc>
          <w:tcPr>
            <w:tcW w:w="16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Accelerated filer</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6"/>
        </w:trPr>
        <w:tc>
          <w:tcPr>
            <w:tcW w:w="1920" w:type="dxa"/>
            <w:vAlign w:val="bottom"/>
          </w:tcPr>
          <w:p>
            <w:pPr>
              <w:jc w:val="center"/>
              <w:ind w:right="717"/>
              <w:spacing w:after="0"/>
              <w:rPr>
                <w:sz w:val="20"/>
                <w:szCs w:val="20"/>
                <w:color w:val="auto"/>
              </w:rPr>
            </w:pPr>
            <w:r>
              <w:rPr>
                <w:rFonts w:ascii="Times New Roman" w:cs="Times New Roman" w:eastAsia="Times New Roman" w:hAnsi="Times New Roman"/>
                <w:sz w:val="13"/>
                <w:szCs w:val="13"/>
                <w:color w:val="auto"/>
                <w:w w:val="96"/>
              </w:rPr>
              <w:t>Non-accelerated filer</w:t>
            </w:r>
          </w:p>
        </w:tc>
        <w:tc>
          <w:tcPr>
            <w:tcW w:w="1600" w:type="dxa"/>
            <w:vAlign w:val="bottom"/>
          </w:tcPr>
          <w:p>
            <w:pPr>
              <w:ind w:left="780"/>
              <w:spacing w:after="0" w:line="131" w:lineRule="exact"/>
              <w:rPr>
                <w:sz w:val="20"/>
                <w:szCs w:val="20"/>
                <w:color w:val="auto"/>
              </w:rPr>
            </w:pPr>
            <w:r>
              <w:rPr>
                <w:rFonts w:ascii="MS PGothic" w:cs="MS PGothic" w:eastAsia="MS PGothic" w:hAnsi="MS PGothic"/>
                <w:sz w:val="13"/>
                <w:szCs w:val="13"/>
                <w:color w:val="auto"/>
              </w:rPr>
              <w:t>☐</w:t>
            </w: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13"/>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980" w:type="dxa"/>
            <w:vAlign w:val="bottom"/>
          </w:tcPr>
          <w:p>
            <w:pPr>
              <w:ind w:left="700"/>
              <w:spacing w:after="0"/>
              <w:rPr>
                <w:sz w:val="20"/>
                <w:szCs w:val="20"/>
                <w:color w:val="auto"/>
              </w:rPr>
            </w:pPr>
            <w:r>
              <w:rPr>
                <w:rFonts w:ascii="Times New Roman" w:cs="Times New Roman" w:eastAsia="Times New Roman" w:hAnsi="Times New Roman"/>
                <w:sz w:val="13"/>
                <w:szCs w:val="13"/>
                <w:color w:val="auto"/>
              </w:rPr>
              <w:t>Emerging growth company</w:t>
            </w:r>
          </w:p>
        </w:tc>
        <w:tc>
          <w:tcPr>
            <w:tcW w:w="1000" w:type="dxa"/>
            <w:vAlign w:val="bottom"/>
          </w:tcPr>
          <w:p>
            <w:pPr>
              <w:ind w:left="88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86" w:lineRule="exact"/>
        <w:rPr>
          <w:sz w:val="24"/>
          <w:szCs w:val="24"/>
          <w:color w:val="auto"/>
        </w:rPr>
      </w:pPr>
    </w:p>
    <w:p>
      <w:pPr>
        <w:ind w:firstLine="518"/>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32" w:lineRule="exact"/>
        <w:rPr>
          <w:sz w:val="24"/>
          <w:szCs w:val="24"/>
          <w:color w:val="auto"/>
        </w:rPr>
      </w:pPr>
    </w:p>
    <w:p>
      <w:pPr>
        <w:ind w:firstLine="518"/>
        <w:spacing w:after="0" w:line="173"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3" w:lineRule="exact"/>
        <w:rPr>
          <w:sz w:val="24"/>
          <w:szCs w:val="24"/>
          <w:color w:val="auto"/>
        </w:rPr>
      </w:pPr>
    </w:p>
    <w:p>
      <w:pPr>
        <w:ind w:right="20" w:firstLine="518"/>
        <w:spacing w:after="0" w:line="160"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208" w:lineRule="exact"/>
        <w:rPr>
          <w:sz w:val="24"/>
          <w:szCs w:val="24"/>
          <w:color w:val="auto"/>
        </w:rPr>
      </w:pPr>
    </w:p>
    <w:p>
      <w:pPr>
        <w:ind w:firstLine="518"/>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spacing w:after="0" w:line="179" w:lineRule="exact"/>
        <w:rPr>
          <w:sz w:val="24"/>
          <w:szCs w:val="24"/>
          <w:color w:val="auto"/>
        </w:rPr>
      </w:pPr>
    </w:p>
    <w:p>
      <w:pPr>
        <w:ind w:left="52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57" w:lineRule="exact"/>
        <w:rPr>
          <w:sz w:val="24"/>
          <w:szCs w:val="24"/>
          <w:color w:val="auto"/>
        </w:rPr>
      </w:pPr>
    </w:p>
    <w:p>
      <w:pPr>
        <w:ind w:firstLine="518"/>
        <w:spacing w:after="0" w:line="262" w:lineRule="auto"/>
        <w:rPr>
          <w:sz w:val="20"/>
          <w:szCs w:val="20"/>
          <w:color w:val="auto"/>
        </w:rPr>
      </w:pPr>
      <w:r>
        <w:rPr>
          <w:rFonts w:ascii="Times New Roman" w:cs="Times New Roman" w:eastAsia="Times New Roman" w:hAnsi="Times New Roman"/>
          <w:sz w:val="13"/>
          <w:szCs w:val="13"/>
          <w:color w:val="auto"/>
        </w:rPr>
        <w:t>The aggregate market value of the voting and non-voting common equity held by non-affiliates of the registrant, based on the closing price of the registrant’s shares of common stock as reported by The Nasdaq Global Select Market on June 28, 2024 (the last business day of the registrant’s second fiscal quarter), was approximately $2.6 billion.</w:t>
      </w:r>
    </w:p>
    <w:p>
      <w:pPr>
        <w:spacing w:after="0" w:line="38"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3"/>
          <w:szCs w:val="13"/>
          <w:color w:val="auto"/>
        </w:rPr>
        <w:t>As of January 31, 2025, the registrant had 85,413,283 shares of common stock, $0.0001 par value per share, outstanding.</w:t>
      </w:r>
    </w:p>
    <w:p>
      <w:pPr>
        <w:spacing w:after="0" w:line="65"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69" w:lineRule="exact"/>
        <w:rPr>
          <w:sz w:val="24"/>
          <w:szCs w:val="24"/>
          <w:color w:val="auto"/>
        </w:rPr>
      </w:pPr>
    </w:p>
    <w:p>
      <w:pPr>
        <w:ind w:right="140" w:firstLine="567"/>
        <w:spacing w:after="0" w:line="262" w:lineRule="auto"/>
        <w:rPr>
          <w:sz w:val="20"/>
          <w:szCs w:val="20"/>
          <w:color w:val="auto"/>
        </w:rPr>
      </w:pPr>
      <w:r>
        <w:rPr>
          <w:rFonts w:ascii="Times New Roman" w:cs="Times New Roman" w:eastAsia="Times New Roman" w:hAnsi="Times New Roman"/>
          <w:sz w:val="13"/>
          <w:szCs w:val="13"/>
          <w:color w:val="auto"/>
        </w:rPr>
        <w:t>Portions of the registrant’s Definitive Proxy Statement relating to its 2025 Annual Meeting of Stockholders to be filed within 120 days after the end of the fiscal year ended December 31, 2024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777240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698627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8627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78740</wp:posOffset>
            </wp:positionV>
            <wp:extent cx="69862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72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047"/>
        </w:trPr>
        <w:tc>
          <w:tcPr>
            <w:tcW w:w="2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720" w:type="dxa"/>
            <w:vAlign w:val="bottom"/>
            <w:gridSpan w:val="12"/>
          </w:tcPr>
          <w:p>
            <w:pPr>
              <w:jc w:val="center"/>
              <w:ind w:right="4040"/>
              <w:spacing w:after="0"/>
              <w:rPr>
                <w:sz w:val="20"/>
                <w:szCs w:val="20"/>
                <w:color w:val="auto"/>
              </w:rPr>
            </w:pPr>
            <w:r>
              <w:rPr>
                <w:rFonts w:ascii="Times New Roman" w:cs="Times New Roman" w:eastAsia="Times New Roman" w:hAnsi="Times New Roman"/>
                <w:sz w:val="18"/>
                <w:szCs w:val="18"/>
                <w:b w:val="1"/>
                <w:bCs w:val="1"/>
                <w:color w:val="auto"/>
                <w:w w:val="98"/>
              </w:rPr>
              <w:t>PROGYNY, INC.</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80" w:type="dxa"/>
            <w:vAlign w:val="bottom"/>
            <w:gridSpan w:val="13"/>
          </w:tcPr>
          <w:p>
            <w:pPr>
              <w:jc w:val="center"/>
              <w:ind w:right="37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2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FF"/>
              </w:rPr>
              <w:t>PART I</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Business</w:t>
            </w: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1A.</w:t>
            </w:r>
          </w:p>
        </w:tc>
        <w:tc>
          <w:tcPr>
            <w:tcW w:w="540" w:type="dxa"/>
            <w:vAlign w:val="bottom"/>
          </w:tcPr>
          <w:p>
            <w:pPr>
              <w:spacing w:after="0"/>
              <w:rPr>
                <w:sz w:val="20"/>
                <w:szCs w:val="20"/>
                <w:color w:val="auto"/>
              </w:rPr>
            </w:pPr>
          </w:p>
        </w:tc>
        <w:tc>
          <w:tcPr>
            <w:tcW w:w="9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6860" w:type="dxa"/>
            <w:vAlign w:val="bottom"/>
            <w:gridSpan w:val="19"/>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20</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5"/>
              </w:rPr>
              <w:t>Item 1B.</w:t>
            </w:r>
          </w:p>
        </w:tc>
        <w:tc>
          <w:tcPr>
            <w:tcW w:w="580" w:type="dxa"/>
            <w:vAlign w:val="bottom"/>
            <w:gridSpan w:val="3"/>
          </w:tcPr>
          <w:p>
            <w:pPr>
              <w:spacing w:after="0"/>
              <w:rPr>
                <w:sz w:val="20"/>
                <w:szCs w:val="20"/>
                <w:color w:val="auto"/>
              </w:rPr>
            </w:pPr>
          </w:p>
        </w:tc>
        <w:tc>
          <w:tcPr>
            <w:tcW w:w="2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Unresolved Staff Comments</w:t>
            </w:r>
          </w:p>
        </w:tc>
        <w:tc>
          <w:tcPr>
            <w:tcW w:w="5720" w:type="dxa"/>
            <w:vAlign w:val="bottom"/>
            <w:gridSpan w:val="12"/>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1C.</w:t>
            </w:r>
          </w:p>
        </w:tc>
        <w:tc>
          <w:tcPr>
            <w:tcW w:w="560" w:type="dxa"/>
            <w:vAlign w:val="bottom"/>
            <w:gridSpan w:val="2"/>
          </w:tcPr>
          <w:p>
            <w:pPr>
              <w:spacing w:after="0"/>
              <w:rPr>
                <w:sz w:val="20"/>
                <w:szCs w:val="20"/>
                <w:color w:val="auto"/>
              </w:rPr>
            </w:pPr>
          </w:p>
        </w:tc>
        <w:tc>
          <w:tcPr>
            <w:tcW w:w="1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Cybersecurity</w:t>
            </w:r>
          </w:p>
        </w:tc>
        <w:tc>
          <w:tcPr>
            <w:tcW w:w="6760" w:type="dxa"/>
            <w:vAlign w:val="bottom"/>
            <w:gridSpan w:val="18"/>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2.</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Properties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620" w:type="dxa"/>
            <w:vAlign w:val="bottom"/>
            <w:gridSpan w:val="5"/>
          </w:tcPr>
          <w:p>
            <w:pPr>
              <w:spacing w:after="0"/>
              <w:rPr>
                <w:sz w:val="20"/>
                <w:szCs w:val="20"/>
                <w:color w:val="auto"/>
              </w:rPr>
            </w:pPr>
          </w:p>
        </w:tc>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440" w:type="dxa"/>
            <w:vAlign w:val="bottom"/>
            <w:gridSpan w:val="16"/>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4.</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20"/>
                <w:szCs w:val="20"/>
                <w:color w:val="auto"/>
              </w:rPr>
            </w:pPr>
          </w:p>
        </w:tc>
      </w:tr>
      <w:tr>
        <w:trPr>
          <w:trHeight w:val="493"/>
        </w:trPr>
        <w:tc>
          <w:tcPr>
            <w:tcW w:w="20" w:type="dxa"/>
            <w:vAlign w:val="bottom"/>
          </w:tcPr>
          <w:p>
            <w:pPr>
              <w:spacing w:after="0"/>
              <w:rPr>
                <w:sz w:val="24"/>
                <w:szCs w:val="24"/>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480" w:type="dxa"/>
            <w:vAlign w:val="bottom"/>
            <w:tcBorders>
              <w:top w:val="single" w:sz="8" w:color="0000FF"/>
            </w:tcBorders>
          </w:tcPr>
          <w:p>
            <w:pPr>
              <w:spacing w:after="0"/>
              <w:rPr>
                <w:sz w:val="24"/>
                <w:szCs w:val="24"/>
                <w:color w:val="auto"/>
              </w:rPr>
            </w:pPr>
          </w:p>
        </w:tc>
        <w:tc>
          <w:tcPr>
            <w:tcW w:w="720" w:type="dxa"/>
            <w:vAlign w:val="bottom"/>
            <w:gridSpan w:val="6"/>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5.</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46</w:t>
            </w:r>
          </w:p>
        </w:tc>
        <w:tc>
          <w:tcPr>
            <w:tcW w:w="20" w:type="dxa"/>
            <w:vAlign w:val="bottom"/>
          </w:tcPr>
          <w:p>
            <w:pPr>
              <w:spacing w:after="0"/>
              <w:rPr>
                <w:sz w:val="20"/>
                <w:szCs w:val="20"/>
                <w:color w:val="auto"/>
              </w:rPr>
            </w:pPr>
          </w:p>
        </w:tc>
      </w:tr>
      <w:tr>
        <w:trPr>
          <w:trHeight w:val="183"/>
        </w:trPr>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Securities</w:t>
            </w:r>
          </w:p>
        </w:tc>
        <w:tc>
          <w:tcPr>
            <w:tcW w:w="6580" w:type="dxa"/>
            <w:vAlign w:val="bottom"/>
            <w:tcBorders>
              <w:top w:val="single" w:sz="8" w:color="0000FF"/>
            </w:tcBorders>
            <w:gridSpan w:val="20"/>
          </w:tcPr>
          <w:p>
            <w:pPr>
              <w:spacing w:after="0"/>
              <w:rPr>
                <w:sz w:val="15"/>
                <w:szCs w:val="15"/>
                <w:color w:val="auto"/>
              </w:rPr>
            </w:pP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6.</w:t>
            </w:r>
          </w:p>
        </w:tc>
        <w:tc>
          <w:tcPr>
            <w:tcW w:w="620" w:type="dxa"/>
            <w:vAlign w:val="bottom"/>
            <w:gridSpan w:val="5"/>
          </w:tcPr>
          <w:p>
            <w:pPr>
              <w:spacing w:after="0"/>
              <w:rPr>
                <w:sz w:val="20"/>
                <w:szCs w:val="20"/>
                <w:color w:val="auto"/>
              </w:rPr>
            </w:pPr>
          </w:p>
        </w:tc>
        <w:tc>
          <w:tcPr>
            <w:tcW w:w="8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[Reserved]</w:t>
            </w:r>
          </w:p>
        </w:tc>
        <w:tc>
          <w:tcPr>
            <w:tcW w:w="6980" w:type="dxa"/>
            <w:vAlign w:val="bottom"/>
            <w:gridSpan w:val="20"/>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7.</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48</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Item 7A.</w:t>
            </w: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3460" w:type="dxa"/>
            <w:vAlign w:val="bottom"/>
            <w:gridSpan w:val="7"/>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61</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8.</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62</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91</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320" w:type="dxa"/>
            <w:vAlign w:val="bottom"/>
            <w:gridSpan w:val="6"/>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Item 9A.</w:t>
            </w:r>
          </w:p>
        </w:tc>
        <w:tc>
          <w:tcPr>
            <w:tcW w:w="540" w:type="dxa"/>
            <w:vAlign w:val="bottom"/>
          </w:tcPr>
          <w:p>
            <w:pPr>
              <w:spacing w:after="0"/>
              <w:rPr>
                <w:sz w:val="20"/>
                <w:szCs w:val="20"/>
                <w:color w:val="auto"/>
              </w:rPr>
            </w:pPr>
          </w:p>
        </w:tc>
        <w:tc>
          <w:tcPr>
            <w:tcW w:w="1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6000" w:type="dxa"/>
            <w:vAlign w:val="bottom"/>
            <w:gridSpan w:val="14"/>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92</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9B.</w:t>
            </w:r>
          </w:p>
        </w:tc>
        <w:tc>
          <w:tcPr>
            <w:tcW w:w="560" w:type="dxa"/>
            <w:vAlign w:val="bottom"/>
            <w:gridSpan w:val="2"/>
          </w:tcPr>
          <w:p>
            <w:pPr>
              <w:spacing w:after="0"/>
              <w:rPr>
                <w:sz w:val="20"/>
                <w:szCs w:val="20"/>
                <w:color w:val="auto"/>
              </w:rPr>
            </w:pP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6460" w:type="dxa"/>
            <w:vAlign w:val="bottom"/>
            <w:gridSpan w:val="17"/>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9C.</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III</w:t>
            </w:r>
          </w:p>
        </w:tc>
        <w:tc>
          <w:tcPr>
            <w:tcW w:w="620" w:type="dxa"/>
            <w:vAlign w:val="bottom"/>
            <w:tcBorders>
              <w:top w:val="single" w:sz="8" w:color="0000FF"/>
            </w:tcBorders>
            <w:gridSpan w:val="4"/>
          </w:tcPr>
          <w:p>
            <w:pPr>
              <w:spacing w:after="0"/>
              <w:rPr>
                <w:sz w:val="20"/>
                <w:szCs w:val="20"/>
                <w:color w:val="auto"/>
              </w:rPr>
            </w:pPr>
          </w:p>
        </w:tc>
        <w:tc>
          <w:tcPr>
            <w:tcW w:w="580" w:type="dxa"/>
            <w:vAlign w:val="bottom"/>
            <w:gridSpan w:val="3"/>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60" w:type="dxa"/>
            <w:vAlign w:val="bottom"/>
            <w:tcBorders>
              <w:top w:val="single" w:sz="8" w:color="0000FF"/>
            </w:tcBorders>
          </w:tcPr>
          <w:p>
            <w:pPr>
              <w:spacing w:after="0"/>
              <w:rPr>
                <w:sz w:val="20"/>
                <w:szCs w:val="20"/>
                <w:color w:val="auto"/>
              </w:rPr>
            </w:pPr>
          </w:p>
        </w:tc>
        <w:tc>
          <w:tcPr>
            <w:tcW w:w="8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580" w:type="dxa"/>
            <w:vAlign w:val="bottom"/>
            <w:tcBorders>
              <w:top w:val="single" w:sz="8" w:color="0000FF"/>
            </w:tcBorders>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10.</w:t>
            </w:r>
          </w:p>
        </w:tc>
        <w:tc>
          <w:tcPr>
            <w:tcW w:w="620" w:type="dxa"/>
            <w:vAlign w:val="bottom"/>
            <w:gridSpan w:val="5"/>
          </w:tcPr>
          <w:p>
            <w:pPr>
              <w:spacing w:after="0"/>
              <w:rPr>
                <w:sz w:val="20"/>
                <w:szCs w:val="20"/>
                <w:color w:val="auto"/>
              </w:rPr>
            </w:pPr>
          </w:p>
        </w:tc>
        <w:tc>
          <w:tcPr>
            <w:tcW w:w="410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Directors, Executive Officers and Corporate Governance</w:t>
            </w:r>
          </w:p>
        </w:tc>
        <w:tc>
          <w:tcPr>
            <w:tcW w:w="3680" w:type="dxa"/>
            <w:vAlign w:val="bottom"/>
            <w:gridSpan w:val="8"/>
          </w:tcPr>
          <w:p>
            <w:pPr>
              <w:spacing w:after="0"/>
              <w:rPr>
                <w:sz w:val="20"/>
                <w:szCs w:val="20"/>
                <w:color w:val="auto"/>
              </w:rPr>
            </w:pP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3"/>
              </w:rPr>
              <w:t>Item 11.</w:t>
            </w:r>
          </w:p>
        </w:tc>
        <w:tc>
          <w:tcPr>
            <w:tcW w:w="620" w:type="dxa"/>
            <w:vAlign w:val="bottom"/>
            <w:gridSpan w:val="5"/>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Executive Compensation</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95</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3"/>
              </w:rPr>
              <w:t>Item 12.</w:t>
            </w:r>
          </w:p>
        </w:tc>
        <w:tc>
          <w:tcPr>
            <w:tcW w:w="20" w:type="dxa"/>
            <w:vAlign w:val="bottom"/>
            <w:tcBorders>
              <w:bottom w:val="single" w:sz="8" w:color="0000FF"/>
            </w:tcBorders>
          </w:tcPr>
          <w:p>
            <w:pPr>
              <w:spacing w:after="0"/>
              <w:rPr>
                <w:sz w:val="20"/>
                <w:szCs w:val="20"/>
                <w:color w:val="auto"/>
              </w:rPr>
            </w:pPr>
          </w:p>
        </w:tc>
        <w:tc>
          <w:tcPr>
            <w:tcW w:w="600" w:type="dxa"/>
            <w:vAlign w:val="bottom"/>
            <w:gridSpan w:val="4"/>
          </w:tcPr>
          <w:p>
            <w:pPr>
              <w:spacing w:after="0"/>
              <w:rPr>
                <w:sz w:val="20"/>
                <w:szCs w:val="20"/>
                <w:color w:val="auto"/>
              </w:rPr>
            </w:pPr>
          </w:p>
        </w:tc>
        <w:tc>
          <w:tcPr>
            <w:tcW w:w="73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Security Ownership of Certain Beneficial Owners and Management and Related Stockholder Matters</w:t>
            </w:r>
          </w:p>
        </w:tc>
        <w:tc>
          <w:tcPr>
            <w:tcW w:w="480" w:type="dxa"/>
            <w:vAlign w:val="bottom"/>
            <w:gridSpan w:val="2"/>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Item 13.</w:t>
            </w:r>
          </w:p>
        </w:tc>
        <w:tc>
          <w:tcPr>
            <w:tcW w:w="600" w:type="dxa"/>
            <w:vAlign w:val="bottom"/>
            <w:gridSpan w:val="4"/>
          </w:tcPr>
          <w:p>
            <w:pPr>
              <w:spacing w:after="0"/>
              <w:rPr>
                <w:sz w:val="20"/>
                <w:szCs w:val="20"/>
                <w:color w:val="auto"/>
              </w:rPr>
            </w:pPr>
          </w:p>
        </w:tc>
        <w:tc>
          <w:tcPr>
            <w:tcW w:w="54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 and Director Independence</w:t>
            </w:r>
          </w:p>
        </w:tc>
        <w:tc>
          <w:tcPr>
            <w:tcW w:w="2320" w:type="dxa"/>
            <w:vAlign w:val="bottom"/>
            <w:gridSpan w:val="5"/>
          </w:tcPr>
          <w:p>
            <w:pPr>
              <w:spacing w:after="0"/>
              <w:rPr>
                <w:sz w:val="20"/>
                <w:szCs w:val="20"/>
                <w:color w:val="auto"/>
              </w:rPr>
            </w:pPr>
          </w:p>
        </w:tc>
        <w:tc>
          <w:tcPr>
            <w:tcW w:w="540" w:type="dxa"/>
            <w:vAlign w:val="bottom"/>
            <w:gridSpan w:val="2"/>
          </w:tcPr>
          <w:p>
            <w:pPr>
              <w:spacing w:after="0"/>
              <w:rPr>
                <w:sz w:val="20"/>
                <w:szCs w:val="20"/>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95</w:t>
            </w:r>
          </w:p>
        </w:tc>
        <w:tc>
          <w:tcPr>
            <w:tcW w:w="20" w:type="dxa"/>
            <w:vAlign w:val="bottom"/>
          </w:tcPr>
          <w:p>
            <w:pPr>
              <w:spacing w:after="0"/>
              <w:rPr>
                <w:sz w:val="20"/>
                <w:szCs w:val="20"/>
                <w:color w:val="auto"/>
              </w:rPr>
            </w:pPr>
          </w:p>
        </w:tc>
      </w:tr>
      <w:tr>
        <w:trPr>
          <w:trHeight w:val="256"/>
        </w:trPr>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Item 14.</w:t>
            </w: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Principal Accountant Fees and Services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2"/>
                <w:szCs w:val="22"/>
                <w:color w:val="auto"/>
              </w:rPr>
            </w:pPr>
          </w:p>
        </w:tc>
      </w:tr>
      <w:tr>
        <w:trPr>
          <w:trHeight w:val="217"/>
        </w:trPr>
        <w:tc>
          <w:tcPr>
            <w:tcW w:w="20" w:type="dxa"/>
            <w:vAlign w:val="bottom"/>
          </w:tcPr>
          <w:p>
            <w:pPr>
              <w:spacing w:after="0"/>
              <w:rPr>
                <w:sz w:val="18"/>
                <w:szCs w:val="18"/>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PART IV</w:t>
            </w:r>
          </w:p>
        </w:tc>
        <w:tc>
          <w:tcPr>
            <w:tcW w:w="580" w:type="dxa"/>
            <w:vAlign w:val="bottom"/>
            <w:tcBorders>
              <w:top w:val="single" w:sz="8" w:color="0000FF"/>
            </w:tcBorders>
            <w:gridSpan w:val="2"/>
          </w:tcPr>
          <w:p>
            <w:pPr>
              <w:spacing w:after="0"/>
              <w:rPr>
                <w:sz w:val="18"/>
                <w:szCs w:val="18"/>
                <w:color w:val="auto"/>
              </w:rPr>
            </w:pPr>
          </w:p>
        </w:tc>
        <w:tc>
          <w:tcPr>
            <w:tcW w:w="620" w:type="dxa"/>
            <w:vAlign w:val="bottom"/>
            <w:gridSpan w:val="5"/>
          </w:tcPr>
          <w:p>
            <w:pPr>
              <w:spacing w:after="0"/>
              <w:rPr>
                <w:sz w:val="18"/>
                <w:szCs w:val="18"/>
                <w:color w:val="auto"/>
              </w:rPr>
            </w:pPr>
          </w:p>
        </w:tc>
        <w:tc>
          <w:tcPr>
            <w:tcW w:w="6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8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r>
      <w:tr>
        <w:trPr>
          <w:trHeight w:val="236"/>
        </w:trPr>
        <w:tc>
          <w:tcPr>
            <w:tcW w:w="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15.</w:t>
            </w:r>
          </w:p>
        </w:tc>
        <w:tc>
          <w:tcPr>
            <w:tcW w:w="600" w:type="dxa"/>
            <w:vAlign w:val="bottom"/>
            <w:gridSpan w:val="4"/>
          </w:tcPr>
          <w:p>
            <w:pPr>
              <w:spacing w:after="0"/>
              <w:rPr>
                <w:sz w:val="20"/>
                <w:szCs w:val="20"/>
                <w:color w:val="auto"/>
              </w:rPr>
            </w:pPr>
          </w:p>
        </w:tc>
        <w:tc>
          <w:tcPr>
            <w:tcW w:w="77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96</w:t>
            </w:r>
          </w:p>
        </w:tc>
        <w:tc>
          <w:tcPr>
            <w:tcW w:w="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1560" w:type="dxa"/>
            <w:vAlign w:val="bottom"/>
            <w:gridSpan w:val="8"/>
            <w:shd w:val="clear" w:color="auto" w:fill="0000FF"/>
          </w:tcPr>
          <w:p>
            <w:pPr>
              <w:spacing w:after="0" w:line="20" w:lineRule="exact"/>
              <w:rPr>
                <w:sz w:val="1"/>
                <w:szCs w:val="1"/>
                <w:color w:val="auto"/>
              </w:rPr>
            </w:pPr>
          </w:p>
        </w:tc>
        <w:tc>
          <w:tcPr>
            <w:tcW w:w="1600" w:type="dxa"/>
            <w:vAlign w:val="bottom"/>
            <w:gridSpan w:val="5"/>
            <w:shd w:val="clear" w:color="auto" w:fill="0000FF"/>
          </w:tcPr>
          <w:p>
            <w:pPr>
              <w:spacing w:after="0" w:line="20" w:lineRule="exact"/>
              <w:rPr>
                <w:sz w:val="1"/>
                <w:szCs w:val="1"/>
                <w:color w:val="auto"/>
              </w:rPr>
            </w:pPr>
          </w:p>
        </w:tc>
        <w:tc>
          <w:tcPr>
            <w:tcW w:w="4620" w:type="dxa"/>
            <w:vAlign w:val="bottom"/>
            <w:gridSpan w:val="1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Item 16.</w:t>
            </w:r>
          </w:p>
        </w:tc>
        <w:tc>
          <w:tcPr>
            <w:tcW w:w="600" w:type="dxa"/>
            <w:vAlign w:val="bottom"/>
            <w:gridSpan w:val="4"/>
          </w:tcPr>
          <w:p>
            <w:pPr>
              <w:spacing w:after="0"/>
              <w:rPr>
                <w:sz w:val="20"/>
                <w:szCs w:val="20"/>
                <w:color w:val="auto"/>
              </w:rPr>
            </w:pPr>
          </w:p>
        </w:tc>
        <w:tc>
          <w:tcPr>
            <w:tcW w:w="3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Form 10-K Summary</w:t>
            </w:r>
          </w:p>
        </w:tc>
        <w:tc>
          <w:tcPr>
            <w:tcW w:w="4620" w:type="dxa"/>
            <w:vAlign w:val="bottom"/>
            <w:gridSpan w:val="10"/>
          </w:tcPr>
          <w:p>
            <w:pPr>
              <w:spacing w:after="0"/>
              <w:rPr>
                <w:sz w:val="20"/>
                <w:szCs w:val="20"/>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100</w:t>
            </w:r>
          </w:p>
        </w:tc>
      </w:tr>
      <w:tr>
        <w:trPr>
          <w:trHeight w:val="20"/>
        </w:trPr>
        <w:tc>
          <w:tcPr>
            <w:tcW w:w="2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15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580" w:type="dxa"/>
            <w:vAlign w:val="bottom"/>
            <w:gridSpan w:val="2"/>
          </w:tcPr>
          <w:p>
            <w:pPr>
              <w:spacing w:after="0"/>
              <w:rPr>
                <w:sz w:val="24"/>
                <w:szCs w:val="24"/>
                <w:color w:val="auto"/>
              </w:rPr>
            </w:pPr>
          </w:p>
        </w:tc>
        <w:tc>
          <w:tcPr>
            <w:tcW w:w="620" w:type="dxa"/>
            <w:vAlign w:val="bottom"/>
            <w:gridSpan w:val="5"/>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101</w:t>
            </w:r>
          </w:p>
        </w:tc>
      </w:tr>
      <w:tr>
        <w:trPr>
          <w:trHeight w:val="939"/>
        </w:trPr>
        <w:tc>
          <w:tcPr>
            <w:tcW w:w="2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160" w:type="dxa"/>
            <w:vAlign w:val="bottom"/>
            <w:gridSpan w:val="13"/>
          </w:tcPr>
          <w:p>
            <w:pPr>
              <w:jc w:val="center"/>
              <w:ind w:left="2550"/>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8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1A. “Risk Factors” and Part II, Item 7. “Management’s Discussion and Analysis of Financial Condition and Results of Operations” of this Annual Report on Form 10-K.</w:t>
      </w:r>
    </w:p>
    <w:p>
      <w:pPr>
        <w:spacing w:after="0" w:line="20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 Item 1A. of this Annual Report on Form 10-K and should be carefully considered, together with other information in this Annual Report on Form 10-K and our other filings with the U.S. Securities and Exchange Commission, or the SEC, before making an investment decision regarding our common stock.</w:t>
      </w:r>
    </w:p>
    <w:p>
      <w:pPr>
        <w:spacing w:after="0" w:line="177" w:lineRule="exact"/>
        <w:rPr>
          <w:sz w:val="20"/>
          <w:szCs w:val="20"/>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if we do not continue to compete effectively, our business, financial condition and results of operations could be harmed.</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jc w:val="both"/>
        <w:ind w:left="660" w:right="2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utilization of our fertility solutions, including the consumption rate or the mix of utilization, could have an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25"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62"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6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69"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62"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new and evolving legal and regulatory requirements, as well as complex judicial mandates.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Unless the context otherwise indicates, references in this Annual Report on Form 10-K to the terms “Progyny,” “the Company,” “we,” “our” and “us” refer to Progyny, Inc. and its wholly owned subsidiaries.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This Annual Report on Form 10-K contains statistical data, estimates and forecasts that are based on independent industry publications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1A. “Risk Factors” of this Annual Report on Form 10-K, that could cause results to differ materially from those expressed in these publications and other publicly available information.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achieve optimal outcomes.</w:t>
      </w:r>
    </w:p>
    <w:p>
      <w:pPr>
        <w:spacing w:after="0" w:line="164"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Progyny is a leading benefits management company specializing in fertility, family building and women's health benefits solutions in the United States. Our clients include many of the nation’s most prominent employers across a broad array of industries. We launched our fertility benefits solution in 2016 with our first five employer clients, and we have grown our current base of clients to more than 530 employers, each with at least 1,000 covered lives. We currently have contracts to provide coverage to approximately 6.7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+79 for our fertility benefits solution and +84 for Progyny Rx, our integrated pharmacy benefits solution, as of December 31, 2024.</w:t>
      </w:r>
    </w:p>
    <w:p>
      <w:pPr>
        <w:spacing w:after="0" w:line="23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redefining fertility and family building benefits, proving that a comprehensive fertility solution can simultaneously benefit employers, members and providers. We believe the 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7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order to simplify the process for our members, we offer our proprietary Smart Cycle approach. Smart Cycles are designed by us to include the medical services required for a member’s full course of treatment, including all necessary diagnostic testing and access to the latest technology. In conjunction with the Smart Cycle plan design, each member who utilizes our benefit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186"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addition to our fertility benefits solution, we offer an integrated pharmacy benefits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We also expanded our solutions to include a preconception, maternity and postpartum care offering as well as a menopause and midlife care offering.</w:t>
      </w:r>
    </w:p>
    <w:p>
      <w:pPr>
        <w:spacing w:after="0" w:line="200" w:lineRule="exact"/>
        <w:rPr>
          <w:sz w:val="20"/>
          <w:szCs w:val="20"/>
          <w:color w:val="auto"/>
        </w:rPr>
      </w:pP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demonstrated our ability to drive better outcomes for our clients, members and provider clinics across multiple metrics. Provider clinics in our network produce outcomes that surpass their own reported practice averages when treating Progyny members because of our differentiated solution. Additionally, across our membership, our outcomes compared to national averages have been consistently superior to date.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prevalence of infertility is high, affecting one in five married women aged 15 to 49 years with no prior births in the United States, according to the Centers for Disease Control and Prevention, or CDC, and there is increasing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awareness around infertility as a disease as more individuals are openly 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 medical insurance. By comparison, medical conditions with similar prevalence, such as diabetes and asthma, are comprehensively covered by conventional health insurance carriers and employers. Due to the high prevalence of infertility, its high costs of treatment and the limited insurance coverage provided for this disease, there is a significant unmet need for fertility services in the United States, and several macro trends are driving the need for fertility treatments and propelling the overall size of the fertility market.</w:t>
      </w:r>
    </w:p>
    <w:p>
      <w:pPr>
        <w:spacing w:after="0" w:line="18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While fertility treatments have been available for over 40 years to help individuals suffering from infertility build their families, access to these treatments has been limited due to the lack of comprehensive coverage and the prohibitive costs. We believe that the lack of adequate coverage has been the result of both broader public policy issues, as well as conventional health insurance carrier-specific policies. For example, it was not until 2017 that infertility was first recognized as a disease by the American Medical Association, and, as of February 2025, only 22 states and the District of Columbia have mandated insurance coverage for infertility. For the states that do mandate coverage, the mandates vary greatly and may leave patients with inadequate coverage or unable to pursue care at all. When conventional health insurance carriers have chosen to structure fertility coverage for their employer clients, that coverage often has limited lifetime dollar maximums and clinically antiquated "one size fits all" clinical protocols, such as mandated step therapy protocols.</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 Additionally, the increased acceptance of non-traditional paths to parenthood has created an increased need for access to fertility treatments. As employees are demanding more robust fertility benefits coverage, employers are increasingly focused on providing a comprehensive fertility benefits solution that supports an inclusive and diverse workplace in order to attract and retain top employees.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 and retention.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Challenges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employers are faced with three major challenges related to providing fertility benefits to their employee bases:</w:t>
      </w:r>
    </w:p>
    <w:p>
      <w:pPr>
        <w:spacing w:after="0" w:line="206" w:lineRule="exact"/>
        <w:rPr>
          <w:sz w:val="20"/>
          <w:szCs w:val="20"/>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lack of a comprehensive fertility benefits solution that optimizes their fertility treatment expenditures;</w:t>
      </w:r>
    </w:p>
    <w:p>
      <w:pPr>
        <w:spacing w:after="0" w:line="211" w:lineRule="exact"/>
        <w:rPr>
          <w:rFonts w:ascii="Times New Roman" w:cs="Times New Roman" w:eastAsia="Times New Roman" w:hAnsi="Times New Roman"/>
          <w:sz w:val="22"/>
          <w:szCs w:val="22"/>
          <w:b w:val="1"/>
          <w:bCs w:val="1"/>
          <w:color w:val="auto"/>
        </w:rPr>
      </w:pPr>
    </w:p>
    <w:p>
      <w:pPr>
        <w:ind w:left="980" w:hanging="324"/>
        <w:spacing w:after="0" w:line="220" w:lineRule="auto"/>
        <w:tabs>
          <w:tab w:leader="none" w:pos="975"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need to reduce the significant maternity and neonatal intensive care unit, or NICU, expenses resulting from multiple births caused by fertility treatments and the resulting workplace impact; and</w:t>
      </w:r>
    </w:p>
    <w:p>
      <w:pPr>
        <w:spacing w:after="0" w:line="180"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desire to find innovative ways to attract and retain highly sought-after talent.</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Employers are seeing an increasing demand for fertility and family building benefits solutions from their employees, yet the programs offered by their conventional health insurance carriers do not successfully address these core challenges. Driven by these market dynamics, the market for fertility treatments has grown as more individuals pursue treatment. Given this increasing demand coupled with inadequate existing coverage, there is a greater need for a fertility benefits manager that can provide comprehensive and effective benefits to the employer market.</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Lack of Effective Fertility Benefits Solutions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w:t>
      </w:r>
    </w:p>
    <w:p>
      <w:pPr>
        <w:spacing w:after="0" w:line="19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The common use of multiple embryo transfer belies the fact that this procedure greatly increases the risk of multiple births and health complications among the mother and babies. One of the most common complications associated with multiples is preterm births, which significantly increases healthcare costs, including maternity care, labor and delivery costs and NICU expenses. 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fertility process is a long, rigorous journey, both emotionally and physically. Conventional benefits programs lack meaningful care coordination, education or patient support. Patients and their dependents have no help in understanding the complex choices they are faced with and discerning between treatment alternatives. There is also limited emotional support when patients face setbacks or unexpected outcomes as the current system ignores the emotional burden of patients embarking on the path to pregnancy through assisted reproductive technology, or ART, treatments and the impact that burden has on employee productivity and the workplace.</w:t>
      </w:r>
    </w:p>
    <w:p>
      <w:pPr>
        <w:spacing w:after="0" w:line="17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conventional pharmacy delivery infrastructure is not designed to address the uniqueness of fertility treatment, which requires highly coordinated and timely delivery of medications. Conventional benefits managers require extensive and multiple authorizations and have inconsistent approval processes, which can complicate and delay the provision of medications that are essential to fertility treatment. We believe that authorization and delivery times of one to two weeks are typical for conventional benefits programs. If medications are not received on time, patients may have to wait a month or longer to commence another round of fertility treatment, wasting valuable time and money. In addition, the storage, preparation and administration of fertility medication is complex and requires extensive self-administered injections, yet most fertility benefits solutions offer limited guidance and clinical support to patients around these issues. Additionally, because fertility medications are often self-administered injectable drugs, the effectiveness of a patient’s treatment may be compromised by improper storage and/or incorrect administration of their medications if the patient is not provided access to education and support.</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Because of the unique challenges of infertility, including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Associated with Multiple Births and Poor Fertility Treatment Outcomes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In addition to multiple birth rates, the relatively higher miscarriage rate associated with IVF treatment leads to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Ability to Attract and Retain Talent</w:t>
      </w:r>
    </w:p>
    <w:p>
      <w:pPr>
        <w:spacing w:after="0" w:line="21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Employers are facing increasing competition to attract and retain talent. As a result, we believe that employers are enhancing their value proposition to employees by evaluating and providing benefits that are most in demand. Family building solutions are an increasing area of focus for employees, and in turn, employers.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believe we have a significant opportunity to provide employers with a superior comprehensive solution that addresses the unique challenges and complexities of fertility treatment and related fertility pharmacy services. We estimate that the market for fertility treatments in the United States will continue to grow, especially as current estimates of the market exclude those individuals who do not have access to a comprehensive family building benefit and, as a result, do not seek treatment for infertility. Furthermore, when comparing the United States to other countries, the percentage of babies born utilizing ART is materially lower, at approximately 2% in the United States (where fertility treatment is not adequately covered), compared to approximately 10% in Denmark and more than 8% in Japan (where there is more public health funding for fertility treatment).</w:t>
      </w:r>
    </w:p>
    <w:p>
      <w:pPr>
        <w:spacing w:after="0" w:line="19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contract with employers to provide fertility and family building benefits to their employees and covered dependents. We believe our addressable market primarily consists of large self-insured employers as well as labor populations under the Labor Management Relations Act of 1947 (also known as the Taft-Hartley Act) and federal government populations. There are approximately 8,000 employers in the United States who have a minimum of 1,000 employees, who together with the Taft-Hartley populations and federal government populations, represent approximately 106 million potential covered lives in total. As such, we estimate that our current member base of 6.7 million covered lives under contract represents a mid-single digit percent of our total market opportunity.</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Regardless of whether or not these employers currently provide a fertility benefit, we believe they are prospective clients of Progyny. Further, 40% of our current clients had no prior fertility coverage before adopting the Progyny benefit, and 92% of our current clients enhanced their coverage when they switched to Progyny. Overall, we believe our market opportunity is substantial and is continuing to grow as a result of the rising demand for fertility benefits solutions, the lack of adequate offerings in the market today and the increased awareness of the challenges of infertility that we are helping to drive.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Solutions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and members achieve savings in upfront treatment costs as well as reduced maternity and NICU expenses.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Differentiated Benefits Plan Design</w:t>
      </w:r>
    </w:p>
    <w:p>
      <w:pPr>
        <w:spacing w:after="0" w:line="22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innovative Smart Cycle is our proprietary, easy-to-understand fertility benefits design. Our Smart Cycle plan design allows members equitable access to the treatment they need and is designed to drive superior outcomes and reduce both upfront treatment expenses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20 different Smart Cycle treatment bundles, which may be used independently or in combination depending on a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18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 Our superior clinical outcomes driven by our Smart Cycle plan design include higher rates of pregnancy and live births, as well as lower miscarriage rates and fewer multiple births.</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Personalized Concierge-Style Member Support Services</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who is paired to a member and interacts with them an average of 15 times over the course of their treatment.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who design our PCA training curriculum and direct our comprehensive member experience.</w:t>
      </w:r>
    </w:p>
    <w:p>
      <w:pPr>
        <w:spacing w:after="0" w:line="18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comprehensive member portal, accessible via any desktop or mobile device or via the mobile application,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 Additionally, the portal can be used to review plan coverage, benefit utilization, claim details and account balances. We believe our platform provides our members with best-in-class support services to help them navigate their fertility and family building journeys.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Selective Network of High-Quality Fertility Specialists</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have utilized our deep industry knowledge and the insights derived from our data analytics platform to establish and actively manage a national network of leading fertility specialists in the United States. Our members receive access to our selective Center of Excellence network of high-quality providers that includes over 1,050 fertility specialists who practice at over 650 provider clinic locations throughout the United States and over 1,140 specialists in total when including reproductive urologists. Our network includes 45 of the top 50 fertility practice groups by volume in the United States according to 2022 CDC data, which was published in 2024 and is the most recent data available. Fertility specialists who are invited to join our network must meet and maintain rigorous credentialing standards and quality thresholds that we set for inclusion in our network to ensure that our members receive the highest quality care. Our national network serves members in virtually every state, providing extensive geographic coverage to our national employers.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Progyny Rx, an Integrated Pharmacy Benefits Solution</w:t>
      </w:r>
    </w:p>
    <w:p>
      <w:pPr>
        <w:spacing w:after="0" w:line="21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process ensures that our members will not miss or delay cycles. We provide access to phone-based, clinical education and support seven days a week to ensure that our members understand any necessary medication storage requirements and administration techniques, including injection training. To further support members who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Robust Data Collection Process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experience and satisfaction. Finally, our data allows us to provide our clients with unique and detailed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Prestigious Medical Advisory Board</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designed to drive to the best outcomes. This review ensures that we are evaluating and covering the latest and most effective fertility treatments and identifying opportunities to improve our plan design, member experience and fertility specialists network standards.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Full Service Client Success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provide a dedicated client success team to help ensure that we are delivering superior service. Our client success managers support our clients’ day-to-day needs and resolve issues that arise. For example, to help our clients ensure that their employees are fully aware of the Progyny program, our client success teams work with our clients to create co-branded materials to support health fairs, open enrollment events and other employee communications. The client success team also attends open enrollment benefits fairs and other health fairs throughout the year and hosts virtual open enrollment webinars for members to attend live or on-demand. Our client success team also reviews all program reports with our clients to reinforce the transparency we provide to clients into their expenditures and outcomes and to review and quantify the value created by our solutions. We believe our client success services, including our detailed client reporting, play an important role in helping us maintain and strengthen our client relationships.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Ease of Integration for Our Clients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Underlying the ease of integration is the fact that we have developed multiple integration solutions that allow us to integrate with any health plan or health insurance carrier, reducing significant time and expense for our clients. Our ability to integrate our solution with our clients' health insurance plan allows our benefit to be offered to employees on a pre-tax basis, providing our members with significant savings in comparison to a post-tax reimbursement. We believe our ability to integrate our benefits solutions with all of the large national health insurance carriers is a differentiating factor within the industry.</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Assistance Service Reimbursement Programs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also offer an assistance service program where certain services can be offered through a reimbursement program, including adoption, surrogacy, doula, and travel reimbursement when travel is required to receive medical services. We can manage the reimbursement of these expenses for those clients who offer such reimbursement benefits. For these programs, employers designate a specific lifetime dollar amount toward the elected assistance service for their employees. We then administer the expense reimbursement to employees up to this dollar amount. We work with our clients to determine what expenses related to adoption or surrogacy or any other elected benefit will be covered under their plan, thereby alleviating their administrative burden.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Proposition</w:t>
      </w:r>
    </w:p>
    <w:p>
      <w:pPr>
        <w:spacing w:after="0" w:line="216"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leading fertility specialists.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Measurable Value to Our Employer Clients</w:t>
      </w:r>
    </w:p>
    <w:p>
      <w:pPr>
        <w:spacing w:after="0" w:line="227" w:lineRule="exact"/>
        <w:rPr>
          <w:sz w:val="20"/>
          <w:szCs w:val="20"/>
          <w:color w:val="auto"/>
        </w:rPr>
      </w:pPr>
    </w:p>
    <w:p>
      <w:pPr>
        <w:ind w:left="980" w:hanging="324"/>
        <w:spacing w:after="0" w:line="228"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Substantial and Measurable Financial Value. </w:t>
      </w:r>
      <w:r>
        <w:rPr>
          <w:rFonts w:ascii="Times New Roman" w:cs="Times New Roman" w:eastAsia="Times New Roman" w:hAnsi="Times New Roman"/>
          <w:sz w:val="18"/>
          <w:szCs w:val="18"/>
          <w:color w:val="auto"/>
        </w:rPr>
        <w:t>Our superior clinical outcomes drive savings in both upfront fertility treatment costs (due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 live birth rates) as well as subsequent maternity and NICU expenses for our clients (due to our lower multiple birth rates).</w:t>
      </w:r>
    </w:p>
    <w:p>
      <w:pPr>
        <w:spacing w:after="0" w:line="197" w:lineRule="exact"/>
        <w:rPr>
          <w:rFonts w:ascii="Times New Roman" w:cs="Times New Roman" w:eastAsia="Times New Roman" w:hAnsi="Times New Roman"/>
          <w:sz w:val="22"/>
          <w:szCs w:val="22"/>
          <w:b w:val="1"/>
          <w:bCs w:val="1"/>
          <w:color w:val="auto"/>
        </w:rPr>
      </w:pPr>
    </w:p>
    <w:p>
      <w:pPr>
        <w:ind w:left="980" w:hanging="324"/>
        <w:spacing w:after="0" w:line="228"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Progyny Rx Savings. </w:t>
      </w:r>
      <w:r>
        <w:rPr>
          <w:rFonts w:ascii="Times New Roman" w:cs="Times New Roman" w:eastAsia="Times New Roman" w:hAnsi="Times New Roman"/>
          <w:sz w:val="18"/>
          <w:szCs w:val="18"/>
          <w:color w:val="auto"/>
        </w:rPr>
        <w:t>Progyny Rx delivers unit cost savings to our clients based on a reduction in unnecessary quantities of medication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dispensed.</w:t>
      </w:r>
    </w:p>
    <w:p>
      <w:pPr>
        <w:spacing w:after="0" w:line="197" w:lineRule="exact"/>
        <w:rPr>
          <w:rFonts w:ascii="Times New Roman" w:cs="Times New Roman" w:eastAsia="Times New Roman" w:hAnsi="Times New Roman"/>
          <w:sz w:val="22"/>
          <w:szCs w:val="22"/>
          <w:b w:val="1"/>
          <w:bCs w:val="1"/>
          <w:color w:val="auto"/>
        </w:rPr>
      </w:pPr>
    </w:p>
    <w:p>
      <w:pPr>
        <w:jc w:val="both"/>
        <w:ind w:left="980" w:hanging="324"/>
        <w:spacing w:after="0" w:line="224"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Employee Productivity and Retention. </w:t>
      </w:r>
      <w:r>
        <w:rPr>
          <w:rFonts w:ascii="Times New Roman" w:cs="Times New Roman" w:eastAsia="Times New Roman" w:hAnsi="Times New Roman"/>
          <w:sz w:val="18"/>
          <w:szCs w:val="18"/>
          <w:color w:val="auto"/>
        </w:rPr>
        <w:t>Our solution addresses employee absenteeism, poor productivity, and the lack of employee retention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driven by the stress of suffering from infertility (and undergoing fertility treatment) as well as the return-to-work issues related to multiple births. Our members are able to receive the most effective treatments more quickly and have access to high-touch member support services through our PCAs, thereby reducing the physical and emotional rigors of infertility and its treatment.</w:t>
      </w:r>
    </w:p>
    <w:p>
      <w:pPr>
        <w:spacing w:after="0" w:line="196" w:lineRule="exact"/>
        <w:rPr>
          <w:rFonts w:ascii="Times New Roman" w:cs="Times New Roman" w:eastAsia="Times New Roman" w:hAnsi="Times New Roman"/>
          <w:sz w:val="22"/>
          <w:szCs w:val="22"/>
          <w:b w:val="1"/>
          <w:bCs w:val="1"/>
          <w:color w:val="auto"/>
        </w:rPr>
      </w:pPr>
    </w:p>
    <w:p>
      <w:pPr>
        <w:jc w:val="both"/>
        <w:ind w:left="980" w:hanging="324"/>
        <w:spacing w:after="0" w:line="220" w:lineRule="auto"/>
        <w:tabs>
          <w:tab w:leader="none" w:pos="975"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Appeal to Existing and Prospective Employees. </w:t>
      </w:r>
      <w:r>
        <w:rPr>
          <w:rFonts w:ascii="Times New Roman" w:cs="Times New Roman" w:eastAsia="Times New Roman" w:hAnsi="Times New Roman"/>
          <w:sz w:val="18"/>
          <w:szCs w:val="18"/>
          <w:color w:val="auto"/>
        </w:rPr>
        <w:t>Better fertility benefits programs can be a key component to enhancing a company’s overall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program and an important tool in its 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Members</w:t>
      </w:r>
    </w:p>
    <w:p>
      <w:pPr>
        <w:spacing w:after="0" w:line="241" w:lineRule="exact"/>
        <w:rPr>
          <w:sz w:val="20"/>
          <w:szCs w:val="20"/>
          <w:color w:val="auto"/>
        </w:rPr>
      </w:pPr>
    </w:p>
    <w:p>
      <w:pPr>
        <w:jc w:val="both"/>
        <w:ind w:left="980" w:hanging="324"/>
        <w:spacing w:after="0" w:line="225" w:lineRule="auto"/>
        <w:tabs>
          <w:tab w:leader="none" w:pos="975" w:val="left"/>
        </w:tabs>
        <w:numPr>
          <w:ilvl w:val="0"/>
          <w:numId w:val="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Our members experience healthier pregnancies (with significantly increased utilization of single embryo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transfer) and superior rates of pregnancy and live births, as well as reduced rates of miscarriages and multiple births, saving valuable time and money and limiting personal and professional disruption.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30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r>
      <w:tr>
        <w:trPr>
          <w:trHeight w:val="162"/>
        </w:trPr>
        <w:tc>
          <w:tcPr>
            <w:tcW w:w="3020" w:type="dxa"/>
            <w:vAlign w:val="bottom"/>
          </w:tcPr>
          <w:p>
            <w:pPr>
              <w:spacing w:after="0"/>
              <w:rPr>
                <w:sz w:val="14"/>
                <w:szCs w:val="14"/>
                <w:color w:val="auto"/>
              </w:rPr>
            </w:pPr>
          </w:p>
        </w:tc>
        <w:tc>
          <w:tcPr>
            <w:tcW w:w="4180" w:type="dxa"/>
            <w:vAlign w:val="bottom"/>
          </w:tcPr>
          <w:p>
            <w:pPr>
              <w:spacing w:after="0"/>
              <w:rPr>
                <w:sz w:val="14"/>
                <w:szCs w:val="14"/>
                <w:color w:val="auto"/>
              </w:rPr>
            </w:pPr>
          </w:p>
        </w:tc>
        <w:tc>
          <w:tcPr>
            <w:tcW w:w="200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Clinic</w:t>
            </w:r>
          </w:p>
        </w:tc>
      </w:tr>
      <w:tr>
        <w:trPr>
          <w:trHeight w:val="162"/>
        </w:trPr>
        <w:tc>
          <w:tcPr>
            <w:tcW w:w="3020" w:type="dxa"/>
            <w:vAlign w:val="bottom"/>
          </w:tcPr>
          <w:p>
            <w:pPr>
              <w:spacing w:after="0"/>
              <w:rPr>
                <w:sz w:val="14"/>
                <w:szCs w:val="14"/>
                <w:color w:val="auto"/>
              </w:rPr>
            </w:pPr>
          </w:p>
        </w:tc>
        <w:tc>
          <w:tcPr>
            <w:tcW w:w="4180" w:type="dxa"/>
            <w:vAlign w:val="bottom"/>
          </w:tcPr>
          <w:p>
            <w:pPr>
              <w:jc w:val="center"/>
              <w:ind w:left="2228"/>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Averages</w:t>
            </w:r>
          </w:p>
        </w:tc>
      </w:tr>
      <w:tr>
        <w:trPr>
          <w:trHeight w:val="204"/>
        </w:trPr>
        <w:tc>
          <w:tcPr>
            <w:tcW w:w="30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4180" w:type="dxa"/>
            <w:vAlign w:val="bottom"/>
          </w:tcPr>
          <w:p>
            <w:pPr>
              <w:jc w:val="center"/>
              <w:ind w:left="2228"/>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for All Patients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5863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63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line="262" w:lineRule="auto"/>
        <w:rPr>
          <w:sz w:val="20"/>
          <w:szCs w:val="20"/>
          <w:color w:val="auto"/>
        </w:rPr>
      </w:pPr>
      <w:r>
        <w:rPr>
          <w:rFonts w:ascii="Times New Roman" w:cs="Times New Roman" w:eastAsia="Times New Roman" w:hAnsi="Times New Roman"/>
          <w:sz w:val="14"/>
          <w:szCs w:val="14"/>
          <w:b w:val="1"/>
          <w:bCs w:val="1"/>
          <w:color w:val="auto"/>
        </w:rPr>
        <w:t>Progyny In-Network Provider Clinic</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Averages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22225</wp:posOffset>
            </wp:positionV>
            <wp:extent cx="12084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57" w:lineRule="exact"/>
        <w:rPr>
          <w:sz w:val="20"/>
          <w:szCs w:val="20"/>
          <w:color w:val="auto"/>
        </w:rPr>
      </w:pPr>
    </w:p>
    <w:p>
      <w:pPr>
        <w:sectPr>
          <w:pgSz w:w="11900" w:h="16838" w:orient="portrait"/>
          <w:cols w:equalWidth="0" w:num="2">
            <w:col w:w="9220" w:space="140"/>
            <w:col w:w="188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4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8"/>
                <w:szCs w:val="8"/>
                <w:color w:val="auto"/>
              </w:rPr>
              <w:t>(2)</w:t>
            </w:r>
          </w:p>
        </w:tc>
        <w:tc>
          <w:tcPr>
            <w:tcW w:w="3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34.9 %</w:t>
            </w:r>
          </w:p>
        </w:tc>
        <w:tc>
          <w:tcPr>
            <w:tcW w:w="2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36.8 %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46.7 %</w:t>
            </w:r>
          </w:p>
        </w:tc>
        <w:tc>
          <w:tcPr>
            <w:tcW w:w="0" w:type="dxa"/>
            <w:vAlign w:val="bottom"/>
          </w:tcPr>
          <w:p>
            <w:pPr>
              <w:spacing w:after="0"/>
              <w:rPr>
                <w:sz w:val="1"/>
                <w:szCs w:val="1"/>
                <w:color w:val="auto"/>
              </w:rPr>
            </w:pPr>
          </w:p>
        </w:tc>
      </w:tr>
      <w:tr>
        <w:trPr>
          <w:trHeight w:val="181"/>
        </w:trPr>
        <w:tc>
          <w:tcPr>
            <w:tcW w:w="200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Single embryo transfer rate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7"/>
                <w:szCs w:val="7"/>
                <w:color w:val="auto"/>
                <w:w w:val="72"/>
                <w:shd w:val="clear" w:color="auto" w:fill="CCEEFF"/>
              </w:rPr>
              <w:t>(1)</w:t>
            </w:r>
          </w:p>
        </w:tc>
        <w:tc>
          <w:tcPr>
            <w:tcW w:w="2680" w:type="dxa"/>
            <w:vAlign w:val="bottom"/>
            <w:vMerge w:val="restart"/>
            <w:shd w:val="clear" w:color="auto" w:fill="CCEEFF"/>
          </w:tcPr>
          <w:p>
            <w:pPr>
              <w:spacing w:after="0"/>
              <w:rPr>
                <w:sz w:val="15"/>
                <w:szCs w:val="15"/>
                <w:color w:val="auto"/>
              </w:rPr>
            </w:pPr>
          </w:p>
        </w:tc>
        <w:tc>
          <w:tcPr>
            <w:tcW w:w="320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78.9 %</w:t>
            </w:r>
          </w:p>
        </w:tc>
        <w:tc>
          <w:tcPr>
            <w:tcW w:w="200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80.8 %</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96.6 %</w:t>
            </w:r>
          </w:p>
        </w:tc>
        <w:tc>
          <w:tcPr>
            <w:tcW w:w="0" w:type="dxa"/>
            <w:vAlign w:val="bottom"/>
          </w:tcPr>
          <w:p>
            <w:pPr>
              <w:spacing w:after="0"/>
              <w:rPr>
                <w:sz w:val="1"/>
                <w:szCs w:val="1"/>
                <w:color w:val="auto"/>
              </w:rPr>
            </w:pPr>
          </w:p>
        </w:tc>
      </w:tr>
      <w:tr>
        <w:trPr>
          <w:trHeight w:val="62"/>
        </w:trPr>
        <w:tc>
          <w:tcPr>
            <w:tcW w:w="2000" w:type="dxa"/>
            <w:vAlign w:val="bottom"/>
            <w:tcBorders>
              <w:bottom w:val="single" w:sz="8" w:color="CCEEFF"/>
            </w:tcBorders>
            <w:gridSpan w:val="3"/>
            <w:vMerge w:val="continue"/>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80" w:type="dxa"/>
            <w:vAlign w:val="bottom"/>
            <w:tcBorders>
              <w:bottom w:val="single" w:sz="8" w:color="CCEEFF"/>
            </w:tcBorders>
            <w:vMerge w:val="continue"/>
            <w:shd w:val="clear" w:color="auto" w:fill="CCEEFF"/>
          </w:tcPr>
          <w:p>
            <w:pPr>
              <w:spacing w:after="0"/>
              <w:rPr>
                <w:sz w:val="5"/>
                <w:szCs w:val="5"/>
                <w:color w:val="auto"/>
              </w:rPr>
            </w:pPr>
          </w:p>
        </w:tc>
        <w:tc>
          <w:tcPr>
            <w:tcW w:w="3200" w:type="dxa"/>
            <w:vAlign w:val="bottom"/>
            <w:tcBorders>
              <w:bottom w:val="single" w:sz="8" w:color="CCEEFF"/>
            </w:tcBorders>
            <w:vMerge w:val="continue"/>
            <w:shd w:val="clear" w:color="auto" w:fill="CCEEFF"/>
          </w:tcPr>
          <w:p>
            <w:pPr>
              <w:spacing w:after="0"/>
              <w:rPr>
                <w:sz w:val="5"/>
                <w:szCs w:val="5"/>
                <w:color w:val="auto"/>
              </w:rPr>
            </w:pPr>
          </w:p>
        </w:tc>
        <w:tc>
          <w:tcPr>
            <w:tcW w:w="2000" w:type="dxa"/>
            <w:vAlign w:val="bottom"/>
            <w:tcBorders>
              <w:bottom w:val="single" w:sz="8" w:color="CCEEFF"/>
            </w:tcBorders>
            <w:vMerge w:val="continue"/>
            <w:shd w:val="clear" w:color="auto" w:fill="CCEEFF"/>
          </w:tcPr>
          <w:p>
            <w:pPr>
              <w:spacing w:after="0"/>
              <w:rPr>
                <w:sz w:val="5"/>
                <w:szCs w:val="5"/>
                <w:color w:val="auto"/>
              </w:rPr>
            </w:pPr>
          </w:p>
        </w:tc>
        <w:tc>
          <w:tcPr>
            <w:tcW w:w="12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3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54.3 %</w:t>
            </w:r>
          </w:p>
        </w:tc>
        <w:tc>
          <w:tcPr>
            <w:tcW w:w="2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55.6 %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60.8 %</w:t>
            </w:r>
          </w:p>
        </w:tc>
        <w:tc>
          <w:tcPr>
            <w:tcW w:w="0" w:type="dxa"/>
            <w:vAlign w:val="bottom"/>
          </w:tcPr>
          <w:p>
            <w:pPr>
              <w:spacing w:after="0"/>
              <w:rPr>
                <w:sz w:val="1"/>
                <w:szCs w:val="1"/>
                <w:color w:val="auto"/>
              </w:rPr>
            </w:pPr>
          </w:p>
        </w:tc>
      </w:tr>
      <w:tr>
        <w:trPr>
          <w:trHeight w:val="181"/>
        </w:trPr>
        <w:tc>
          <w:tcPr>
            <w:tcW w:w="12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Miscarriage rate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20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18.2 %</w:t>
            </w:r>
          </w:p>
        </w:tc>
        <w:tc>
          <w:tcPr>
            <w:tcW w:w="200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17.9 %</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14.4 %</w:t>
            </w:r>
          </w:p>
        </w:tc>
        <w:tc>
          <w:tcPr>
            <w:tcW w:w="0" w:type="dxa"/>
            <w:vAlign w:val="bottom"/>
          </w:tcPr>
          <w:p>
            <w:pPr>
              <w:spacing w:after="0"/>
              <w:rPr>
                <w:sz w:val="1"/>
                <w:szCs w:val="1"/>
                <w:color w:val="auto"/>
              </w:rPr>
            </w:pPr>
          </w:p>
        </w:tc>
      </w:tr>
      <w:tr>
        <w:trPr>
          <w:trHeight w:val="62"/>
        </w:trPr>
        <w:tc>
          <w:tcPr>
            <w:tcW w:w="1200" w:type="dxa"/>
            <w:vAlign w:val="bottom"/>
            <w:tcBorders>
              <w:bottom w:val="single" w:sz="8" w:color="CCEEFF"/>
            </w:tcBorders>
            <w:vMerge w:val="continue"/>
            <w:shd w:val="clear" w:color="auto" w:fill="CCEEFF"/>
          </w:tcPr>
          <w:p>
            <w:pPr>
              <w:spacing w:after="0"/>
              <w:rPr>
                <w:sz w:val="5"/>
                <w:szCs w:val="5"/>
                <w:color w:val="auto"/>
              </w:rPr>
            </w:pPr>
          </w:p>
        </w:tc>
        <w:tc>
          <w:tcPr>
            <w:tcW w:w="140" w:type="dxa"/>
            <w:vAlign w:val="bottom"/>
            <w:tcBorders>
              <w:bottom w:val="single" w:sz="8" w:color="CCEEFF"/>
            </w:tcBorders>
            <w:shd w:val="clear" w:color="auto" w:fill="CCEEFF"/>
          </w:tcPr>
          <w:p>
            <w:pPr>
              <w:spacing w:after="0"/>
              <w:rPr>
                <w:sz w:val="5"/>
                <w:szCs w:val="5"/>
                <w:color w:val="auto"/>
              </w:rPr>
            </w:pPr>
          </w:p>
        </w:tc>
        <w:tc>
          <w:tcPr>
            <w:tcW w:w="66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2680" w:type="dxa"/>
            <w:vAlign w:val="bottom"/>
            <w:tcBorders>
              <w:bottom w:val="single" w:sz="8" w:color="CCEEFF"/>
            </w:tcBorders>
            <w:shd w:val="clear" w:color="auto" w:fill="CCEEFF"/>
          </w:tcPr>
          <w:p>
            <w:pPr>
              <w:spacing w:after="0"/>
              <w:rPr>
                <w:sz w:val="5"/>
                <w:szCs w:val="5"/>
                <w:color w:val="auto"/>
              </w:rPr>
            </w:pPr>
          </w:p>
        </w:tc>
        <w:tc>
          <w:tcPr>
            <w:tcW w:w="3200" w:type="dxa"/>
            <w:vAlign w:val="bottom"/>
            <w:tcBorders>
              <w:bottom w:val="single" w:sz="8" w:color="CCEEFF"/>
            </w:tcBorders>
            <w:vMerge w:val="continue"/>
            <w:shd w:val="clear" w:color="auto" w:fill="CCEEFF"/>
          </w:tcPr>
          <w:p>
            <w:pPr>
              <w:spacing w:after="0"/>
              <w:rPr>
                <w:sz w:val="5"/>
                <w:szCs w:val="5"/>
                <w:color w:val="auto"/>
              </w:rPr>
            </w:pPr>
          </w:p>
        </w:tc>
        <w:tc>
          <w:tcPr>
            <w:tcW w:w="2000" w:type="dxa"/>
            <w:vAlign w:val="bottom"/>
            <w:tcBorders>
              <w:bottom w:val="single" w:sz="8" w:color="CCEEFF"/>
            </w:tcBorders>
            <w:vMerge w:val="continue"/>
            <w:shd w:val="clear" w:color="auto" w:fill="CCEEFF"/>
          </w:tcPr>
          <w:p>
            <w:pPr>
              <w:spacing w:after="0"/>
              <w:rPr>
                <w:sz w:val="5"/>
                <w:szCs w:val="5"/>
                <w:color w:val="auto"/>
              </w:rPr>
            </w:pPr>
          </w:p>
        </w:tc>
        <w:tc>
          <w:tcPr>
            <w:tcW w:w="128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7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8"/>
                <w:szCs w:val="8"/>
                <w:color w:val="auto"/>
              </w:rPr>
              <w:t>(2)</w:t>
            </w:r>
          </w:p>
        </w:tc>
        <w:tc>
          <w:tcPr>
            <w:tcW w:w="32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42.2 %</w:t>
            </w:r>
          </w:p>
        </w:tc>
        <w:tc>
          <w:tcPr>
            <w:tcW w:w="200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43.2 %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0" w:type="dxa"/>
            <w:vAlign w:val="bottom"/>
          </w:tcPr>
          <w:p>
            <w:pPr>
              <w:spacing w:after="0"/>
              <w:rPr>
                <w:sz w:val="1"/>
                <w:szCs w:val="1"/>
                <w:color w:val="auto"/>
              </w:rPr>
            </w:pPr>
          </w:p>
        </w:tc>
      </w:tr>
      <w:tr>
        <w:trPr>
          <w:trHeight w:val="174"/>
        </w:trPr>
        <w:tc>
          <w:tcPr>
            <w:tcW w:w="1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IVF multiples rate</w:t>
            </w:r>
          </w:p>
        </w:tc>
        <w:tc>
          <w:tcPr>
            <w:tcW w:w="66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8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rPr>
                <w:sz w:val="15"/>
                <w:szCs w:val="15"/>
                <w:color w:val="auto"/>
              </w:rPr>
            </w:pPr>
          </w:p>
        </w:tc>
        <w:tc>
          <w:tcPr>
            <w:tcW w:w="320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5.8 %</w:t>
            </w:r>
          </w:p>
        </w:tc>
        <w:tc>
          <w:tcPr>
            <w:tcW w:w="2000" w:type="dxa"/>
            <w:vAlign w:val="bottom"/>
            <w:vMerge w:val="restart"/>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5.4 %</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55"/>
        </w:trPr>
        <w:tc>
          <w:tcPr>
            <w:tcW w:w="1340" w:type="dxa"/>
            <w:vAlign w:val="bottom"/>
            <w:gridSpan w:val="2"/>
            <w:vMerge w:val="continue"/>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680" w:type="dxa"/>
            <w:vAlign w:val="bottom"/>
            <w:shd w:val="clear" w:color="auto" w:fill="CCEEFF"/>
          </w:tcPr>
          <w:p>
            <w:pPr>
              <w:spacing w:after="0"/>
              <w:rPr>
                <w:sz w:val="4"/>
                <w:szCs w:val="4"/>
                <w:color w:val="auto"/>
              </w:rPr>
            </w:pPr>
          </w:p>
        </w:tc>
        <w:tc>
          <w:tcPr>
            <w:tcW w:w="3200" w:type="dxa"/>
            <w:vAlign w:val="bottom"/>
            <w:vMerge w:val="continue"/>
            <w:shd w:val="clear" w:color="auto" w:fill="CCEEFF"/>
          </w:tcPr>
          <w:p>
            <w:pPr>
              <w:spacing w:after="0"/>
              <w:rPr>
                <w:sz w:val="4"/>
                <w:szCs w:val="4"/>
                <w:color w:val="auto"/>
              </w:rPr>
            </w:pPr>
          </w:p>
        </w:tc>
        <w:tc>
          <w:tcPr>
            <w:tcW w:w="2000" w:type="dxa"/>
            <w:vAlign w:val="bottom"/>
            <w:vMerge w:val="continue"/>
            <w:shd w:val="clear" w:color="auto" w:fill="CCEEFF"/>
          </w:tcPr>
          <w:p>
            <w:pPr>
              <w:spacing w:after="0"/>
              <w:rPr>
                <w:sz w:val="4"/>
                <w:szCs w:val="4"/>
                <w:color w:val="auto"/>
              </w:rPr>
            </w:pPr>
          </w:p>
        </w:tc>
        <w:tc>
          <w:tcPr>
            <w:tcW w:w="128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12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80" w:type="dxa"/>
            <w:vAlign w:val="bottom"/>
            <w:shd w:val="clear" w:color="auto" w:fill="CCEEFF"/>
          </w:tcPr>
          <w:p>
            <w:pPr>
              <w:spacing w:after="0"/>
              <w:rPr>
                <w:sz w:val="2"/>
                <w:szCs w:val="2"/>
                <w:color w:val="auto"/>
              </w:rPr>
            </w:pPr>
          </w:p>
        </w:tc>
        <w:tc>
          <w:tcPr>
            <w:tcW w:w="320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2021 National Summary Report, finalized in 2024.</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2022 National Summary and Clinic Data Sets, published in 2024.</w:t>
      </w:r>
    </w:p>
    <w:p>
      <w:pPr>
        <w:spacing w:after="0" w:line="15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2023.</w:t>
      </w:r>
    </w:p>
    <w:p>
      <w:pPr>
        <w:spacing w:after="0" w:line="209" w:lineRule="exact"/>
        <w:rPr>
          <w:rFonts w:ascii="Times New Roman" w:cs="Times New Roman" w:eastAsia="Times New Roman" w:hAnsi="Times New Roman"/>
          <w:sz w:val="18"/>
          <w:szCs w:val="18"/>
          <w:color w:val="auto"/>
        </w:rPr>
      </w:pPr>
    </w:p>
    <w:p>
      <w:pPr>
        <w:jc w:val="both"/>
        <w:ind w:left="980" w:hanging="324"/>
        <w:spacing w:after="0" w:line="220" w:lineRule="auto"/>
        <w:tabs>
          <w:tab w:leader="none" w:pos="975" w:val="left"/>
        </w:tabs>
        <w:numPr>
          <w:ilvl w:val="1"/>
          <w:numId w:val="8"/>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i w:val="1"/>
          <w:iCs w:val="1"/>
          <w:color w:val="auto"/>
        </w:rPr>
        <w:t xml:space="preserve">Comprehensive Coverage. </w:t>
      </w:r>
      <w:r>
        <w:rPr>
          <w:rFonts w:ascii="Times New Roman" w:cs="Times New Roman" w:eastAsia="Times New Roman" w:hAnsi="Times New Roman"/>
          <w:sz w:val="18"/>
          <w:szCs w:val="18"/>
          <w:color w:val="auto"/>
        </w:rPr>
        <w:t>We provide all individuals with access to comprehensive coverage. Our Smart Cycle design ensures that members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always have coverage for a full treatment cycle as their access to treatment is not limited by a dollar maximum that could be exhausted mid-treatment. Additionally, members have access to the latest technologies and procedures, which are reviewed and approved by our Medical Advisory Board.</w:t>
      </w:r>
    </w:p>
    <w:p>
      <w:pPr>
        <w:spacing w:after="0" w:line="197" w:lineRule="exact"/>
        <w:rPr>
          <w:rFonts w:ascii="Times New Roman" w:cs="Times New Roman" w:eastAsia="Times New Roman" w:hAnsi="Times New Roman"/>
          <w:sz w:val="22"/>
          <w:szCs w:val="22"/>
          <w:b w:val="1"/>
          <w:bCs w:val="1"/>
          <w:i w:val="1"/>
          <w:iCs w:val="1"/>
          <w:color w:val="auto"/>
        </w:rPr>
      </w:pPr>
    </w:p>
    <w:p>
      <w:pPr>
        <w:ind w:left="980" w:right="2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Access for All Employees and Dependents. </w:t>
      </w:r>
      <w:r>
        <w:rPr>
          <w:rFonts w:ascii="Times New Roman" w:cs="Times New Roman" w:eastAsia="Times New Roman" w:hAnsi="Times New Roman"/>
          <w:sz w:val="18"/>
          <w:szCs w:val="18"/>
          <w:color w:val="auto"/>
        </w:rPr>
        <w:t>Smart Cycles are available to be utilized across all employee groups, including populations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typically covered.</w:t>
      </w:r>
    </w:p>
    <w:p>
      <w:pPr>
        <w:spacing w:after="0" w:line="197" w:lineRule="exact"/>
        <w:rPr>
          <w:rFonts w:ascii="Times New Roman" w:cs="Times New Roman" w:eastAsia="Times New Roman" w:hAnsi="Times New Roman"/>
          <w:sz w:val="22"/>
          <w:szCs w:val="22"/>
          <w:b w:val="1"/>
          <w:bCs w:val="1"/>
          <w:color w:val="auto"/>
        </w:rPr>
      </w:pPr>
    </w:p>
    <w:p>
      <w:pPr>
        <w:ind w:left="98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Equitable Access to Care. </w:t>
      </w:r>
      <w:r>
        <w:rPr>
          <w:rFonts w:ascii="Times New Roman" w:cs="Times New Roman" w:eastAsia="Times New Roman" w:hAnsi="Times New Roman"/>
          <w:sz w:val="18"/>
          <w:szCs w:val="18"/>
          <w:color w:val="auto"/>
        </w:rPr>
        <w:t>Our Smart Cycle design ensures members receive fair and balanced access to care that is not dependent on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live, how expensive a fertility specialist is or which specific treatments are required.</w:t>
      </w:r>
    </w:p>
    <w:p>
      <w:pPr>
        <w:spacing w:after="0" w:line="197" w:lineRule="exact"/>
        <w:rPr>
          <w:rFonts w:ascii="Times New Roman" w:cs="Times New Roman" w:eastAsia="Times New Roman" w:hAnsi="Times New Roman"/>
          <w:sz w:val="22"/>
          <w:szCs w:val="22"/>
          <w:b w:val="1"/>
          <w:bCs w:val="1"/>
          <w:color w:val="auto"/>
        </w:rPr>
      </w:pPr>
    </w:p>
    <w:p>
      <w:pPr>
        <w:ind w:left="980" w:hanging="324"/>
        <w:spacing w:after="0" w:line="228"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High-Touch Concierge Member Experience. </w:t>
      </w:r>
      <w:r>
        <w:rPr>
          <w:rFonts w:ascii="Times New Roman" w:cs="Times New Roman" w:eastAsia="Times New Roman" w:hAnsi="Times New Roman"/>
          <w:sz w:val="18"/>
          <w:szCs w:val="18"/>
          <w:color w:val="auto"/>
        </w:rPr>
        <w:t>We provide our members with high-touch, end-to-end concierge support, including logistical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assistance, clinical guidance and emotional support through our PCAs and our in-house clinical staff.</w:t>
      </w:r>
    </w:p>
    <w:p>
      <w:pPr>
        <w:spacing w:after="0" w:line="197" w:lineRule="exact"/>
        <w:rPr>
          <w:rFonts w:ascii="Times New Roman" w:cs="Times New Roman" w:eastAsia="Times New Roman" w:hAnsi="Times New Roman"/>
          <w:sz w:val="22"/>
          <w:szCs w:val="22"/>
          <w:b w:val="1"/>
          <w:bCs w:val="1"/>
          <w:color w:val="auto"/>
        </w:rPr>
      </w:pPr>
    </w:p>
    <w:p>
      <w:pPr>
        <w:jc w:val="both"/>
        <w:ind w:left="980" w:hanging="324"/>
        <w:spacing w:after="0" w:line="225"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Access to Selective, Premier Fertility Specialist Network. </w:t>
      </w:r>
      <w:r>
        <w:rPr>
          <w:rFonts w:ascii="Times New Roman" w:cs="Times New Roman" w:eastAsia="Times New Roman" w:hAnsi="Times New Roman"/>
          <w:sz w:val="18"/>
          <w:szCs w:val="18"/>
          <w:color w:val="auto"/>
        </w:rPr>
        <w:t>Our solution provides members with access to the nation’s leading fertility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specialists, including over 1,050 fertility specialists who practice at over 650 provider clinic locations throughout the United States. Our network includes 45 of the top 50 fertility practice groups by volume in the United States according to 2022 CDC data.</w:t>
      </w:r>
    </w:p>
    <w:p>
      <w:pPr>
        <w:spacing w:after="0" w:line="198" w:lineRule="exact"/>
        <w:rPr>
          <w:rFonts w:ascii="Times New Roman" w:cs="Times New Roman" w:eastAsia="Times New Roman" w:hAnsi="Times New Roman"/>
          <w:sz w:val="22"/>
          <w:szCs w:val="22"/>
          <w:b w:val="1"/>
          <w:bCs w:val="1"/>
          <w:color w:val="auto"/>
        </w:rPr>
      </w:pPr>
    </w:p>
    <w:p>
      <w:pPr>
        <w:ind w:left="980" w:hanging="324"/>
        <w:spacing w:after="0" w:line="221" w:lineRule="auto"/>
        <w:tabs>
          <w:tab w:leader="none" w:pos="975" w:val="left"/>
        </w:tabs>
        <w:numPr>
          <w:ilvl w:val="1"/>
          <w:numId w:val="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Integrated Pharmacy Benefits Solution. </w:t>
      </w:r>
      <w:r>
        <w:rPr>
          <w:rFonts w:ascii="Times New Roman" w:cs="Times New Roman" w:eastAsia="Times New Roman" w:hAnsi="Times New Roman"/>
          <w:sz w:val="18"/>
          <w:szCs w:val="18"/>
          <w:color w:val="auto"/>
        </w:rPr>
        <w:t>Progyny Rx provides members with a simplified authorization process, timely medication delivery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member support from pharmacy clinicians seven days a week.</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Provide Meaningful Value to Our Fertility Specialists</w:t>
      </w:r>
    </w:p>
    <w:p>
      <w:pPr>
        <w:spacing w:after="0" w:line="241" w:lineRule="exact"/>
        <w:rPr>
          <w:sz w:val="20"/>
          <w:szCs w:val="20"/>
          <w:color w:val="auto"/>
        </w:rPr>
      </w:pPr>
    </w:p>
    <w:p>
      <w:pPr>
        <w:jc w:val="both"/>
        <w:ind w:left="980" w:hanging="324"/>
        <w:spacing w:after="0" w:line="225" w:lineRule="auto"/>
        <w:tabs>
          <w:tab w:leader="none" w:pos="975"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Members Supported with a Comprehensive Benefit. </w:t>
      </w:r>
      <w:r>
        <w:rPr>
          <w:rFonts w:ascii="Times New Roman" w:cs="Times New Roman" w:eastAsia="Times New Roman" w:hAnsi="Times New Roman"/>
          <w:sz w:val="18"/>
          <w:szCs w:val="18"/>
          <w:color w:val="auto"/>
        </w:rPr>
        <w:t>Our solutions allow our members to arrive at their fertility specialist with a fully-covered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course of treatment and the flexibility to utilize the latest approved technologies and best practices via our comprehensive Smart Cycle benefits plan design. Members are also educated on the use of best practices and are supported by PCAs throughout their fertility journey.</w:t>
      </w:r>
    </w:p>
    <w:p>
      <w:pPr>
        <w:spacing w:after="0" w:line="198" w:lineRule="exact"/>
        <w:rPr>
          <w:rFonts w:ascii="Times New Roman" w:cs="Times New Roman" w:eastAsia="Times New Roman" w:hAnsi="Times New Roman"/>
          <w:sz w:val="22"/>
          <w:szCs w:val="22"/>
          <w:b w:val="1"/>
          <w:bCs w:val="1"/>
          <w:color w:val="auto"/>
        </w:rPr>
      </w:pPr>
    </w:p>
    <w:p>
      <w:pPr>
        <w:jc w:val="both"/>
        <w:ind w:left="980" w:hanging="324"/>
        <w:spacing w:after="0" w:line="221" w:lineRule="auto"/>
        <w:tabs>
          <w:tab w:leader="none" w:pos="975"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Eliminate Step Therapy Protocols. </w:t>
      </w:r>
      <w:r>
        <w:rPr>
          <w:rFonts w:ascii="Times New Roman" w:cs="Times New Roman" w:eastAsia="Times New Roman" w:hAnsi="Times New Roman"/>
          <w:sz w:val="18"/>
          <w:szCs w:val="18"/>
          <w:color w:val="auto"/>
        </w:rPr>
        <w:t>Our network of fertility specialists have access to the latest science and technologies through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Smart Cycles, which free our fertility specialists from having to follow the ineffective protocols common to conventional coverage and allow them to pursue the most effective treatments first, thereby saving time and money.</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98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Simplified Administration. </w:t>
      </w:r>
      <w:r>
        <w:rPr>
          <w:rFonts w:ascii="Times New Roman" w:cs="Times New Roman" w:eastAsia="Times New Roman" w:hAnsi="Times New Roman"/>
          <w:sz w:val="18"/>
          <w:szCs w:val="18"/>
          <w:color w:val="auto"/>
        </w:rPr>
        <w:t>Once a Smart Cycle treatment is authorized, fertility specialists within our network are able to prescribe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optimal treatment plan without any need for pre-certification or pre-authorization.</w:t>
      </w:r>
    </w:p>
    <w:p>
      <w:pPr>
        <w:spacing w:after="0" w:line="197" w:lineRule="exact"/>
        <w:rPr>
          <w:rFonts w:ascii="Times New Roman" w:cs="Times New Roman" w:eastAsia="Times New Roman" w:hAnsi="Times New Roman"/>
          <w:sz w:val="22"/>
          <w:szCs w:val="22"/>
          <w:b w:val="1"/>
          <w:bCs w:val="1"/>
          <w:color w:val="auto"/>
        </w:rPr>
      </w:pPr>
    </w:p>
    <w:p>
      <w:pPr>
        <w:jc w:val="both"/>
        <w:ind w:left="980" w:hanging="324"/>
        <w:spacing w:after="0" w:line="222"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Superior Clinical Outcomes. </w:t>
      </w:r>
      <w:r>
        <w:rPr>
          <w:rFonts w:ascii="Times New Roman" w:cs="Times New Roman" w:eastAsia="Times New Roman" w:hAnsi="Times New Roman"/>
          <w:sz w:val="18"/>
          <w:szCs w:val="18"/>
          <w:color w:val="auto"/>
        </w:rPr>
        <w:t>Outcomes for Progyny members across our fertility specialist network are superior to the average outcomes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same provider clinics report to the CDC for all of their patients. Specifically, as shown in the table above, the in-network average live birth rate per attempted retrieval for Progyny members is 46.7%, as compared to the 36.8% average live birth rate per attempted retrieval for all patients at those same clinics. This results in the typical Progyny member undergoing 2.1 retrievals for a live birth as compared to the national average of 3.6 retrievals. This difference of more than one retrieval represents substantial cost avoidance for our clients, as well as significantly less physical and emotional stress on the member.</w:t>
      </w:r>
    </w:p>
    <w:p>
      <w:pPr>
        <w:spacing w:after="0" w:line="199" w:lineRule="exact"/>
        <w:rPr>
          <w:rFonts w:ascii="Times New Roman" w:cs="Times New Roman" w:eastAsia="Times New Roman" w:hAnsi="Times New Roman"/>
          <w:sz w:val="22"/>
          <w:szCs w:val="22"/>
          <w:b w:val="1"/>
          <w:bCs w:val="1"/>
          <w:color w:val="auto"/>
        </w:rPr>
      </w:pPr>
    </w:p>
    <w:p>
      <w:pPr>
        <w:jc w:val="both"/>
        <w:ind w:left="980" w:hanging="324"/>
        <w:spacing w:after="0" w:line="221"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Eliminating Financial Risk Associated With Collections. </w:t>
      </w:r>
      <w:r>
        <w:rPr>
          <w:rFonts w:ascii="Times New Roman" w:cs="Times New Roman" w:eastAsia="Times New Roman" w:hAnsi="Times New Roman"/>
          <w:sz w:val="18"/>
          <w:szCs w:val="18"/>
          <w:color w:val="auto"/>
        </w:rPr>
        <w:t>We assume full responsibility for the collection of all members’ deductibles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coinsurance, thereby eliminating the burden and cost of collection (and bad debt expense) for member payments that our provider clinics otherwise would experience.</w:t>
      </w:r>
    </w:p>
    <w:p>
      <w:pPr>
        <w:spacing w:after="0" w:line="195" w:lineRule="exact"/>
        <w:rPr>
          <w:rFonts w:ascii="Times New Roman" w:cs="Times New Roman" w:eastAsia="Times New Roman" w:hAnsi="Times New Roman"/>
          <w:sz w:val="22"/>
          <w:szCs w:val="22"/>
          <w:b w:val="1"/>
          <w:bCs w:val="1"/>
          <w:color w:val="auto"/>
        </w:rPr>
      </w:pPr>
    </w:p>
    <w:p>
      <w:pPr>
        <w:ind w:left="98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Data Sharing and Reporting. </w:t>
      </w:r>
      <w:r>
        <w:rPr>
          <w:rFonts w:ascii="Times New Roman" w:cs="Times New Roman" w:eastAsia="Times New Roman" w:hAnsi="Times New Roman"/>
          <w:sz w:val="18"/>
          <w:szCs w:val="18"/>
          <w:color w:val="auto"/>
        </w:rPr>
        <w:t>We produce clinic scorecards quarterly with key performance indicators that allow fertility specialists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 their results with peer averages.</w:t>
      </w:r>
    </w:p>
    <w:p>
      <w:pPr>
        <w:spacing w:after="0" w:line="197" w:lineRule="exact"/>
        <w:rPr>
          <w:rFonts w:ascii="Times New Roman" w:cs="Times New Roman" w:eastAsia="Times New Roman" w:hAnsi="Times New Roman"/>
          <w:sz w:val="22"/>
          <w:szCs w:val="22"/>
          <w:b w:val="1"/>
          <w:bCs w:val="1"/>
          <w:color w:val="auto"/>
        </w:rPr>
      </w:pPr>
    </w:p>
    <w:p>
      <w:pPr>
        <w:ind w:left="980" w:right="20" w:hanging="324"/>
        <w:spacing w:after="0" w:line="228" w:lineRule="auto"/>
        <w:tabs>
          <w:tab w:leader="none" w:pos="975"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i w:val="1"/>
          <w:iCs w:val="1"/>
          <w:color w:val="auto"/>
        </w:rPr>
        <w:t xml:space="preserve">Higher Volumes and Improved Financial Performance. </w:t>
      </w:r>
      <w:r>
        <w:rPr>
          <w:rFonts w:ascii="Times New Roman" w:cs="Times New Roman" w:eastAsia="Times New Roman" w:hAnsi="Times New Roman"/>
          <w:sz w:val="18"/>
          <w:szCs w:val="18"/>
          <w:color w:val="auto"/>
        </w:rPr>
        <w:t>Fertility specialists in our network often experience an increase in patient volume,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because of our comprehensive benefits design, an increase in the number of patients who progress from consultation to treatment.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Expand Our Client Base</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intend to continue increasing our client base of self-insured employers in the United States by leveraging our experienced sales team and strong relationships with benefits consultants. We believe that we have a total addressable market of approximately 8,000 potential employer clients in the United States, who have a minimum of 1,000 employees, as well as Taft-Hartley labor populations, and federal government populations, and, with our base of over 530 clients under contract, we are still in the early stages of our growth trajectory. Importantly, as we have continued to grow, we have meaningfully diversified our client base across an array of different industries. We believe that our employer clients are thought leaders in their respective industries and are creating a network effect that is helping to drive more widespread adoption of fertility benefits in their specific industries. We are expanding our client base within each industry that we serve, and have developed industry-specific strategies, which enable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2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Capitalize on Embedded Growth Potential within Our Existing Client Base</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Expansion of Progyny Benefits Solutions within Our Existing Client Base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expect to see further growth from existing clients that add incremental services to their fertility benefits program. For example, a client can expand the fertility benefits they offer to their employees by increasing the number of Smart Cycles they contract for, and they can expand the solutions they offer by adding our new preconception, maternity and postpartum offering and menopause and midlife care offering. In addition, our fertility benefits solution clients can purchase our add-on Progyny Rx solution. We introduced Progyny Rx in the third quarter of 2017 and went live with a select number of clients in January 2018. Currently, 91% of our clients under contract are utilizing this solution, including 95% of the clients we signed in fiscal year 2024. We believe our sales and marketing capabilities play an important role in informing and educating clients about the additional value and impact we can provide to them and their members by enhancing their benefit program.</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New Services and Addressable Markets to Enhance the Depth and Breadth of Our Comprehensive Family Building Offering</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As we continue to grow and expand our client base, we are continually evaluating the latest evolving trends to identify ways we can better serve the needs of existing and potential clients and their employees. We believe we are uniquely positioned to do this for several reasons.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continue to do so in the future. To date, we have identified several ways we believe we can potentially expand our comprehensive family building offering, our addressable market, and our client base in the future, including the addition of our new preconception, maternity and postpartum offering and menopause and midlife care offering. In addition, we may aim to expand our addressable market to middle market employers with under 1,000 employees, including fully insured populations. We will continue to evaluate opportunities as our platform continues to expand.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Clients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currently have contracts to serve over 530 employers in the United States across more than 40 industries. Our current clients, who are leaders across both high-growth and mature industries and range in size from at least 1,000 to 600,000 employees, represent approximately 6.7 million lives under contract.</w:t>
      </w:r>
    </w:p>
    <w:p>
      <w:pPr>
        <w:spacing w:after="0" w:line="19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clients in the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our clients have renewed their benefits management contracts since our initial benefit offering launched in 2016. The majority of our clients have signed multi-year contracts or contracts that renew automatically on an annual basis.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Given that the majority of our clients contract with us for a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the 2024 sales cycle, more clients, with benefits going live in 2025, have opted for comprehensive coverage, with substantially all of our new clients electing Progyny Rx, multiple Smart Cycles and/or egg-freezing.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Landscape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are the leader in the market for employer-sponsored fertility benefits and family building solutions.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we compete favorably based on the following competitive factors:</w:t>
      </w:r>
    </w:p>
    <w:p>
      <w:pPr>
        <w:spacing w:after="0" w:line="206"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the value and comprehensiveness of the benefits solution and superior outcomes for members;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benefits plan design;</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for all employees and their covered dependents;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equitable access to care across geographic areas;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treatment plans that maximize effectiveness and achieve desired outcomes;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member experience, including unlimited dedicated patient education, clinical guidance and emotional support;</w:t>
      </w:r>
    </w:p>
    <w:p>
      <w:pPr>
        <w:spacing w:after="0" w:line="17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to a network of high-quality fertility specialists;</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data reporting and sharing; and</w:t>
      </w:r>
    </w:p>
    <w:p>
      <w:pPr>
        <w:spacing w:after="0" w:line="192"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access to an integrated pharmacy solution.</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While we do not believe any single competitor offers a similarly robust, integrated fertility and family building benefits solution, there are alternative solutions in the market such as the health insurance companies who are able to provide fertility benefits management services as part of their overall administration of a company's health plan and who are our primary competition. In addition, other competitors include specialty fertility-focused solutions owned or sponsored by health insurance companies to provide more comprehensive support to fertility patients than their general medical coverage provides, such as case management or educational support, and venture capital or private equity-backed companies who focus on maternity and reproductive health services more broadly, or who provide fertility-specific benefits solutions.</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solutions are structured as a pre-tax benefit program integrated into employers’ overall employee medical insurance plan, which is unique compared to the offerings of benefits managers new to the industry that do not have integrated health insurance carrier solutions. In addition to our unique plan design, member support and fertility specialist network, one of the key structural differences between our pre-tax benefit and post-tax reimbursement programs is that the individual receiving reimbursement for fertility treatments must pay income taxes on the amount of that reimbursement for the post-tax programs.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channel partners and health plan partners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addition of over 80 new clients in 2024, and the fact that a majority of our current clients terminated their prior fertility benefit to switch to Progyny.</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generate client leads, accelerate sales opportunities and build brand awareness through our marketing programs. Our marketing programs target human resource, benefits and finance executives in addition to healthcare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healthcare industry is subject to significant and evolving federal and state regulation and judicial interpretation. We are regulated, directly or indirectly through our client relationships, by various federal agencies, including, but not limited to, the Department of Health and Human Services, or HHS, the Department of Labor, or DOL, and the Federal Trade Commission, or FTC, as well as by various state governments and agencies. Although many regulatory and governmental requirements do not directly apply to us or our business, our clients may be directly subject to such regulations and requirements, and, in turn, we may be required to comply as a result of our contractual obligations with our clients. We have structured our operations to comply with all laws, regulations and other requirements applicable to us directly and to our clients, members, fertility specialists and specialty pharmacies. However, it is uncertain how our operations may be impacted by changing political, legislative, and regulatory landscapes and priorities, as well as other factors impacting the healthcare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Licensing Requirements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acting as a third-party administrator, or TPA, or pharmacy benefit manager, or PBM. Given the nature and scope of the solutions and services that we provide, we are required to maintain TPA and/or PBM licenses and registrations in certain jurisdictions and to ensure that such licenses and registrations are in good standing on an annual basis. These licenses require us to comply with the rules and regulations of the governmental bodies that issued such licenses, including maintaining certain solvency or bond requirements. In addition, certain states impose licensing requirements on entities that provide utilization review services. We are licensed, are exempt from licensure or registration, or believe that we are otherwise authorized in the states where we provide utilization review services.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ERISA Regulation</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Employee Retirement Income Security Act of 1974, or ERISA, regulates certain aspects of employee health plans, including both insured and self-funded health plans sponsored by our clients, with whom we have agreements to provide TPA services and, in most cases, PBM services through Progyny Rx. In our capacity as a TPA and/or PBM for our clients, we may be subject to certain provisions of ERISA.</w:t>
      </w:r>
    </w:p>
    <w:p>
      <w:pPr>
        <w:spacing w:after="0" w:line="21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Under ERISA, health plan fiduciaries are subject to certain fiduciary obligations. However, we believe that the conduct of our business vis-à-vis our clients’ plans is not of a fiduciary nature, and, therefore, we are not subject in general to the fiduciary obligations imposed by ERISA with respect to such plans. In addition, ERISA plans are subject to certain rules, published by the DOL, including reporting requirements for direct and indirect compensation received by health plan service providers. ERISA's prohibitions on certain forms of remuneration made to, or received by, health plan service providers or other persons are broadly written, and their application to particular cases is uncertain.</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Although ERISA has historically been interpreted to have a broad preemptive effect with respect to certain state laws that “relate” to benefit plans, it does not preempt all state laws imposing transparency or other requirements on PBMs. If the interpretation of ERISA preemption is further narrowed in the future, our contractual obligations with our self-insured clients would likely require us to comply more broadly with state laws applicable to health insurance that do not currently apply to us.</w:t>
      </w: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PBM Regulation</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Recently, there have been a number of reform efforts focused on PBM regulation, program pricing, and transparency, from both federal and state legislatures and agencies, including, but not limited to, the disclosure, receipt and retention of rebates and other payments received from pharmaceutical manufacturers or pharmacy program partners, rules governing contractual provisions between PBMs and their contracted payers and/or pharmacies, registration or licensing of PBMs, transparency reporting requirements, and audits of PBM operations.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HIPAA Privacy and Security Requirements</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Regulations promulgated pursuant to the Health Insurance Portability and Accountability Act of 1996, as amended, or HIPAA, establish privacy and security standards that limit the use and disclosure of certain individually identifiable health information (known as “protected health information”), including reproductive health information, and require the implementation of administrative, physical and technical safeguards to protect the privacy of protected health information and ensure the confidentiality, integrity and availability of electronic protected health information. The privacy regulations established under HIPAA provide individuals with rights related to understanding and controlling how their protected health information is used and disclosed. As a provider of services to entities subject to HIPAA, we are directly subject to certain provisions of HIPAA in our capacity as a “Business Associate.” When acting as a Business Associate under HIPAA, to the extent permitted by applicable privacy regulations and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We also have downstream Business Associates that perform services for us and are also subject to HIPAA.</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Data Privacy and Cybersecurity Requirements</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Further, the California Consumer Privacy Act, as amended by the California Privacy Rights Act (collectively,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compliance investment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more challenging and could lead to additional liability risks.</w:t>
      </w:r>
    </w:p>
    <w:p>
      <w:pPr>
        <w:spacing w:after="0" w:line="2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Federal and state consumer protection laws are being applied increasingly by the FTC, Federal Communications Commission, or FCC, and state attorneys general to regulate the collection, use, handling, transfer, storage, processing and disclosure of personal or health information, through websites or otherwise, and to regulate the presentation of website content. Consumer protection laws require us to publish statements to users of our services that describe how we handle personal information and choices consumers may have about the way we handle personal information.</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and Fee-Splitting Prohibitions</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laws generally prohibit non-physician entities from practicing medicine, exercising control over physicians or engaging in certain practices such as fee-splitting with physicians. We have structured our operations and contracts with our providers to comply with these laws. However,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2024, we had a number of registered trademarks, including Progyny (and design), Smart Cycle and UnPack It, none of which are subject to any known rights of any third parties, including any impairments, assignments or pledges. Other than these registered trademarks, we do not believe our business is dependent to a material degree on trademarks, patents, copyrights or trade secrets.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For additional information, see Part I, Item 1A. “Risk Factors—Risks Related to Our Business and Industry—Our business experiences seasonality, which may cause fluctuations in our sales and results of operations” of this Annual Report on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w:t>
      </w:r>
    </w:p>
    <w:p>
      <w:pPr>
        <w:spacing w:after="0" w:line="20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we had 680 employees, of which 675 were full-time. Our employees are our most important asset, and our culture is key to our success. We are united around our mission and committed to our shared values of passion, collaboration, innovation, integrity and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people strategy is primarily focused on culture and engagement, competitive compensation and development, and community outreach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support.</w:t>
      </w:r>
    </w:p>
    <w:p>
      <w:pPr>
        <w:spacing w:after="0" w:line="244" w:lineRule="exact"/>
        <w:rPr>
          <w:sz w:val="20"/>
          <w:szCs w:val="20"/>
          <w:color w:val="auto"/>
        </w:rPr>
      </w:pPr>
    </w:p>
    <w:p>
      <w:pPr>
        <w:jc w:val="both"/>
        <w:ind w:left="980" w:hanging="243"/>
        <w:spacing w:after="0" w:line="222" w:lineRule="auto"/>
        <w:tabs>
          <w:tab w:leader="none" w:pos="975" w:val="left"/>
        </w:tabs>
        <w:numPr>
          <w:ilvl w:val="0"/>
          <w:numId w:val="13"/>
        </w:numPr>
        <w:rPr>
          <w:rFonts w:ascii="Arial" w:cs="Arial" w:eastAsia="Arial" w:hAnsi="Arial"/>
          <w:sz w:val="22"/>
          <w:szCs w:val="22"/>
          <w:color w:val="auto"/>
        </w:rPr>
      </w:pPr>
      <w:r>
        <w:rPr>
          <w:rFonts w:ascii="Times New Roman" w:cs="Times New Roman" w:eastAsia="Times New Roman" w:hAnsi="Times New Roman"/>
          <w:sz w:val="18"/>
          <w:szCs w:val="18"/>
          <w:i w:val="1"/>
          <w:iCs w:val="1"/>
          <w:color w:val="auto"/>
        </w:rPr>
        <w:t xml:space="preserve">Culture and Engagement. </w:t>
      </w:r>
      <w:r>
        <w:rPr>
          <w:rFonts w:ascii="Times New Roman" w:cs="Times New Roman" w:eastAsia="Times New Roman" w:hAnsi="Times New Roman"/>
          <w:sz w:val="18"/>
          <w:szCs w:val="18"/>
          <w:color w:val="auto"/>
        </w:rPr>
        <w:t>We believe our culture has been a key contributor to our success to date and that the critical nature of the mission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are pursuing promotes a sense of greater purpose and fulfillment in our employees. We have invested substantial time and resources in building our culture in order to retain and recruit talent and to effectively focus on, and pursue, our corporate objectives. We measure employee engagement on an ongoing basis, including through broad employee satisfaction surveys and pulse surveys on specific issues. These are intended to assess our success in promoting an environment where employees are engaged, satisfied and productive and possess a strong understanding of our business objectives. The results from engagement surveys are used to implement programs and processes designed to enhance employee engagement and improve the employee experience or modify existing programs and benefits offerings.</w:t>
      </w:r>
    </w:p>
    <w:p>
      <w:pPr>
        <w:spacing w:after="0" w:line="210" w:lineRule="exact"/>
        <w:rPr>
          <w:rFonts w:ascii="Arial" w:cs="Arial" w:eastAsia="Arial" w:hAnsi="Arial"/>
          <w:sz w:val="22"/>
          <w:szCs w:val="22"/>
          <w:color w:val="auto"/>
        </w:rPr>
      </w:pPr>
    </w:p>
    <w:p>
      <w:pPr>
        <w:jc w:val="both"/>
        <w:ind w:left="980" w:hanging="243"/>
        <w:spacing w:after="0" w:line="253"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Competitive Compensation and Development. </w:t>
      </w:r>
      <w:r>
        <w:rPr>
          <w:rFonts w:ascii="Times New Roman" w:cs="Times New Roman" w:eastAsia="Times New Roman" w:hAnsi="Times New Roman"/>
          <w:sz w:val="18"/>
          <w:szCs w:val="18"/>
          <w:color w:val="auto"/>
        </w:rPr>
        <w:t>We invest in our workforce by offering competitive salaries, attractive incentives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innovative benefits. Our benefits are designed to help employees and their families stay healthy, meet their financial goals, protect their income and balance their work and personal lives. These benefits include access to mental health services, life and financial planning workshops, wellness initiatives, employee assistance programs, and new parent and return-to-work benefits. We also include the Progyny benefit as part of our benefits offerings, allowing our employees to realize their dreams of family and ideal health. We offer paid parental leave for new parents, with an extension of leave for those with an infant in the NICU, as well as a pregnancy loss leave benefit as an enhancement to our bereavement leave policy, explicitly recognizing the physical, emotional, and mental health impact of a pregnancy loss or failed fertility procedure, adoption or surrogacy. We also offer additional paid leave to all employees to support other family health and care challenges. In addition, we focus on creating opportunities for employee growth, development and training, including opportunities to cultivate talent and identify internal candidates for new roles at the Company, management and leadership development programs, technical skill building initiatives and mentoring programs.</w:t>
      </w:r>
    </w:p>
    <w:p>
      <w:pPr>
        <w:spacing w:after="0" w:line="205" w:lineRule="exact"/>
        <w:rPr>
          <w:rFonts w:ascii="Times New Roman" w:cs="Times New Roman" w:eastAsia="Times New Roman" w:hAnsi="Times New Roman"/>
          <w:sz w:val="18"/>
          <w:szCs w:val="18"/>
          <w:color w:val="auto"/>
        </w:rPr>
      </w:pPr>
    </w:p>
    <w:p>
      <w:pPr>
        <w:jc w:val="both"/>
        <w:ind w:left="980" w:hanging="243"/>
        <w:spacing w:after="0"/>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Community Outreach and Support</w:t>
      </w:r>
      <w:r>
        <w:rPr>
          <w:rFonts w:ascii="Times New Roman" w:cs="Times New Roman" w:eastAsia="Times New Roman" w:hAnsi="Times New Roman"/>
          <w:sz w:val="18"/>
          <w:szCs w:val="18"/>
          <w:color w:val="auto"/>
        </w:rPr>
        <w:t>. We believe it is important to give back and promote community outreach and support through 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giving, charitable matching, and employee volunteerism in the communities in which we live and work. We allow flexible work hours to accommodate employee volunteer opportunities and attend company-sponsored charitable events and continue to develop partnerships with community organizations that align with our priorities in fertility, family building and equity in healthcare.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Corporate Information</w:t>
      </w:r>
    </w:p>
    <w:p>
      <w:pPr>
        <w:spacing w:after="0" w:line="22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18"/>
          <w:szCs w:val="18"/>
          <w:color w:val="auto"/>
        </w:rPr>
        <w:t xml:space="preserve">We were incorporated in Delaware in 2008 under the name Auxogen Bioscience, Inc. In 2010, we changed our name to Auxogen, Inc. and in 2015 we changed our name to Progyny, Inc. Our principal executive offices are located at 1359 Broadway, New York, New York 10018, and our telephone number is (212) 888-3124. Our website address is </w:t>
      </w:r>
      <w:r>
        <w:rPr>
          <w:rFonts w:ascii="Times New Roman" w:cs="Times New Roman" w:eastAsia="Times New Roman" w:hAnsi="Times New Roman"/>
          <w:sz w:val="21"/>
          <w:szCs w:val="21"/>
          <w:i w:val="1"/>
          <w:iCs w:val="1"/>
          <w:color w:val="auto"/>
        </w:rPr>
        <w:t>www.progyny.com</w:t>
      </w:r>
      <w:r>
        <w:rPr>
          <w:rFonts w:ascii="Times New Roman" w:cs="Times New Roman" w:eastAsia="Times New Roman" w:hAnsi="Times New Roman"/>
          <w:sz w:val="18"/>
          <w:szCs w:val="18"/>
          <w:color w:val="auto"/>
        </w:rPr>
        <w:t>. Information contained on, or that can be accessed through, our website is not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incorporated by reference into this Annual Report on Form 10-K.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We file electronically with the SEC our annual reports on Form 10-K, quarterly reports on Form 10-Q, current reports on Form 8-K (including amendments to those reports), proxy statements and other information. Our SEC filings are available to the public on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 We also make available on our website at</w:t>
      </w:r>
      <w:r>
        <w:rPr>
          <w:rFonts w:ascii="Times New Roman" w:cs="Times New Roman" w:eastAsia="Times New Roman" w:hAnsi="Times New Roman"/>
          <w:sz w:val="18"/>
          <w:szCs w:val="18"/>
          <w:i w:val="1"/>
          <w:iCs w:val="1"/>
          <w:color w:val="auto"/>
        </w:rPr>
        <w:t xml:space="preserve"> investors.progyny.com</w:t>
      </w:r>
      <w:r>
        <w:rPr>
          <w:rFonts w:ascii="Times New Roman" w:cs="Times New Roman" w:eastAsia="Times New Roman" w:hAnsi="Times New Roman"/>
          <w:sz w:val="18"/>
          <w:szCs w:val="18"/>
          <w:color w:val="auto"/>
        </w:rPr>
        <w:t>, under “Financials—SEC Filings,” free of charge, copies of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reports as soon as reasonably practicable after filing or furnishing these reports with the SEC. The information contained on the websites referenced in this Annual Report on Form 10-K is not incorporated by reference into this Annual Report on Form 10-K. Further, our references to website URLs are intended to be inactive textual references only.</w:t>
      </w:r>
    </w:p>
    <w:p>
      <w:pPr>
        <w:spacing w:after="0" w:line="20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of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Annual Report on Form 10-K, including the sections titled “Cautionary Note Regarding Forward-Looking Statements,” Part II, Item 7 “Management’s Discussion and Analysis of Financial Condition and Results of Operations” and our consolidated financial statements and the accompanying notes included elsewhere in this Annual Report on Form 10-K. The risks and uncertainties described below are not the only ones we face. Any of the following risks could materially and adversely affect our business, financial condition and results of operations and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February 27, 2025, we issued guidance for the first quarter of 2025 and full year 2025.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continue to compete effectively, our business, financial condition and results of operations could be harmed.</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fertility benefits vendors,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the market in which we operate matures and more competitors enter the market and introduce differentiated solutions or services that compete with our solutions, our success depends on our ability to: compete effectively in our market, identify and effectively respond to changes in market dynamics and client and member preferences, maintain or increase our market share, and differentiate our offerings by innovating and delivering products and services that provide enhanced value to our clients and members.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2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1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went live with Progyny Rx in 2018, and 91% of our current clients have now launched this solution, including approximately 95% of the clients we signed in 2024.</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4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Times New Roman" w:cs="Times New Roman" w:eastAsia="Times New Roman" w:hAnsi="Times New Roman"/>
          <w:sz w:val="18"/>
          <w:szCs w:val="18"/>
          <w:color w:val="auto"/>
        </w:rPr>
        <w:t>the price, timeliness and outcomes of our solutions;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availability, price, timeliness, outcomes, performance and functionality of competing solutions;</w:t>
      </w:r>
    </w:p>
    <w:p>
      <w:pPr>
        <w:spacing w:after="0" w:line="24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to offer complementary solutions and services that will enhance our comprehensive fertility and family building offering;</w:t>
      </w:r>
    </w:p>
    <w:p>
      <w:pPr>
        <w:spacing w:after="0" w:line="23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healthcare laws and regulations, the enforcement of such laws and regulations, or healthcare trends;</w:t>
      </w:r>
    </w:p>
    <w:p>
      <w:pPr>
        <w:spacing w:after="0" w:line="265" w:lineRule="exact"/>
        <w:rPr>
          <w:rFonts w:ascii="Times New Roman" w:cs="Times New Roman" w:eastAsia="Times New Roman" w:hAnsi="Times New Roman"/>
          <w:sz w:val="22"/>
          <w:szCs w:val="22"/>
          <w:color w:val="auto"/>
        </w:rPr>
      </w:pPr>
    </w:p>
    <w:p>
      <w:pPr>
        <w:ind w:left="660" w:right="20" w:hanging="328"/>
        <w:spacing w:after="0" w:line="234" w:lineRule="auto"/>
        <w:tabs>
          <w:tab w:leader="none" w:pos="65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global economic conditions, including any material increase in unemployment rates, and the business environment of our clients and, in particular, slowing growth or reduction in our clients’ headcount or spending on employee benefits; and</w:t>
      </w:r>
    </w:p>
    <w:p>
      <w:pPr>
        <w:spacing w:after="0" w:line="23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currently have contracts to serve over 530 employers with at least 1,000 covered lives in the United States across more than 40 industries. For the year ended December 31, 2024, one of our clients accounted for 12% of our total revenue (the "Client"). For the year ended December 31, 2023, the Client accounted for 13% of our total revenue. No other clients accounted for more than 10% of our total revenue for the years ended December 31, 2024 and 2023. In the third quarter of 2024, we were notified that the Client elected to exercise a 90-day option to terminate its services agreement, effective as of January 1, 2025.</w:t>
      </w:r>
    </w:p>
    <w:p>
      <w:pPr>
        <w:spacing w:after="0" w:line="2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Engagement with these clients is generally covered through contracts that are multi-year in duration. These clients may terminate early or decline to renew their existing contracts with us upon expiration, and any such termination or failure to renew could have a negative impact on our revenue and impact our long-term growth. Our clients could also renegotiate pricing terms at the time of renewal, which could have a negative impact on our revenue. In addition, we generate a significant portion of our revenue from clients in the technology industry. Any of a variety of changes in that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3"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utilization of our fertility solutions, including the consumption rate or the mix of utilization, could have an adverse effect on our business, financial condition and results of operations.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failure to adapt and respond effectively to changes in the medical landscape, laws, regulations and government enforcement priorities, client and member needs, requirements or preferences; premium increases and benefits changes; or negative publicity.</w:t>
      </w:r>
    </w:p>
    <w:p>
      <w:pPr>
        <w:spacing w:after="0" w:line="213"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rate of consumption by their 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18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in June 2024 and Benefit Bump LLC, a comprehensive parental leave benefits navigation program for new and growing families in January 2025. We also expanded our offerings to include preconception, maternity and postpartum and menopause and midlife care solutions. We expect to make additional investments as we continue to introduce new solutions and services to enhance our comprehensive family building offering and our technology infrastructure, including systems architecture, scalability, availability, performance and security. Any such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such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4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We went live with our fertility benefits solution in 2016 and Progyny Rx in 2018.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reasons, including slowing demand for our solutions and fertility benefits in general, change in utilization trends by our members, general economic slowdown, an increase in unemployment rates, increased competition, changes in healthcare trends and regulations, changes to science relating to the fertility market,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family building offering and our technology infrastructure, including systems architecture, scalability, availability, performance and security.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r>
        <w:rPr>
          <w:rFonts w:ascii="Times New Roman" w:cs="Times New Roman" w:eastAsia="Times New Roman" w:hAnsi="Times New Roman"/>
          <w:sz w:val="18"/>
          <w:szCs w:val="18"/>
          <w:i w:val="1"/>
          <w:iCs w:val="1"/>
          <w:color w:val="auto"/>
        </w:rPr>
        <w:t>.</w:t>
      </w:r>
    </w:p>
    <w:p>
      <w:pPr>
        <w:spacing w:after="0" w:line="19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spacing w:after="0" w:line="2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data privacy, including criminal hackers, hacktivists, denial-of-service, ransomware, state-sponsored intrusions, industrial espionage, employee malfeasance and human or technological errors. High-profile cybersecurity breaches at other companies and government agencies have increased in recent years. There is the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particularly in response to the COVID-19 pandemic. As a result of such shift, there have been, and may continue to be,</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more targeted cyberattacks and threats on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the solutions we provide.</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may not grow at the rates they historically have, or at all.</w:t>
      </w:r>
    </w:p>
    <w:p>
      <w:pPr>
        <w:spacing w:after="0" w:line="24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attract new clients and maintain existing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5"/>
        </w:numPr>
        <w:rPr>
          <w:rFonts w:ascii="Arial" w:cs="Arial" w:eastAsia="Arial" w:hAnsi="Arial"/>
          <w:sz w:val="22"/>
          <w:szCs w:val="22"/>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3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marketing;</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6"/>
        </w:numPr>
        <w:rPr>
          <w:rFonts w:ascii="Arial" w:cs="Arial" w:eastAsia="Arial" w:hAnsi="Arial"/>
          <w:sz w:val="22"/>
          <w:szCs w:val="22"/>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spacing w:after="0" w:line="19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9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213"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Although President Biden issued executive orders and federal agencies have issued guidance intended to protect access to reproductive healthcare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spacing w:after="0" w:line="21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2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revenue and results of operations.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1st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seasonality of our business could create cash flow management risks if we do not adequately anticipate and plan for periods of comparatively decreased cash flow, which could negatively impact our ability to execute on our</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strategy, which in turn could harm our results of operations. Accordingly, our results for any particular quarter may vary for a number of reasons, and we caution investors to evaluate our quarterly results in light of these factors.</w:t>
      </w:r>
    </w:p>
    <w:p>
      <w:pPr>
        <w:spacing w:after="0" w:line="18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and government enforcement priorities, and changing client needs, requirements or preferences, our offerings may become less competitive.</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members of our management team or other key employees or fail to attract additional qualified personnel, our business and future growth may be negatively impacted.</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r>
        <w:rPr>
          <w:rFonts w:ascii="Times New Roman" w:cs="Times New Roman" w:eastAsia="Times New Roman" w:hAnsi="Times New Roman"/>
          <w:sz w:val="18"/>
          <w:szCs w:val="18"/>
          <w:i w:val="1"/>
          <w:iCs w:val="1"/>
          <w:color w:val="auto"/>
        </w:rPr>
        <w:t>.</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government entities is subject to a number of challenges and risks.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enforce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trade secrets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Moreover, although we take measures to ensure that our employees do not use the confidential or proprietary information or know-how of others in their work for us, we may be subject to claims that we or these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continue to build name recognition with potential partners or clients in our markets of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portion of our net operating loss or research tax credit carryforwards, which could adversely affect our profitability.</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existing at the time of the ownership change, which could adversely affect our profitability.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3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38" w:lineRule="exact"/>
        <w:rPr>
          <w:rFonts w:ascii="Arial" w:cs="Arial" w:eastAsia="Arial" w:hAnsi="Arial"/>
          <w:sz w:val="22"/>
          <w:szCs w:val="22"/>
          <w:color w:val="auto"/>
        </w:rPr>
      </w:pPr>
    </w:p>
    <w:p>
      <w:pPr>
        <w:jc w:val="both"/>
        <w:ind w:left="660" w:hanging="328"/>
        <w:spacing w:after="0" w:line="225"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tax treaties, or regulations or the interpretation of them (such as the Inflation Reduction Act, which, among other changes, introduced a 15% corporate minimum tax on certain United States corporations and a 1% excise tax on certain stock redemptions by United States corporations);</w:t>
      </w:r>
    </w:p>
    <w:p>
      <w:pPr>
        <w:spacing w:after="0" w:line="225"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Times New Roman" w:cs="Times New Roman" w:eastAsia="Times New Roman" w:hAnsi="Times New Roman"/>
          <w:sz w:val="18"/>
          <w:szCs w:val="18"/>
          <w:color w:val="auto"/>
        </w:rPr>
        <w:t>discrete impact tax items, including items resulting from the amount and timing of equity exercises and our stock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could have an adverse effect on our results of operations.</w:t>
      </w:r>
    </w:p>
    <w:p>
      <w:pPr>
        <w:spacing w:after="0" w:line="2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Annual Report on Form 10-K for additional information on recently issued but not yet adopted accounting standards.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9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spacing w:after="0" w:line="230"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spacing w:after="0" w:line="20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our business, financial condition and results of operations could suffer.</w:t>
      </w:r>
    </w:p>
    <w:p>
      <w:pPr>
        <w:spacing w:after="0" w:line="17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that could result in higher medical costs or less attractive services for our members.</w:t>
      </w:r>
    </w:p>
    <w:p>
      <w:pPr>
        <w:spacing w:after="0" w:line="22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specialty pharmacies could face supply chain issues or regulatory delays impacting the availability or distribution of certain fertility medication requiring drug substitutions that could result in higher medical costs 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9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and negotiated rates among industry participants,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 and receive positive references from our existing clients, channel partners and benefit consultants.</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 and impair our ability to attract new clients and retain existing clients. Any of these consequences could have an adverse effect on our business,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structured our operations to comply with all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changes in law or future determinations by a court or agency that our corporate structure, solutions or services violate, or cause our clients or network partners to violate, applicable laws, regulations or other requirements could subject us or our clients to significant administrative, civil or criminal penalties. Such changes may also impact our ability to offer our products in the same manner to our clients, which may require us to change, reduce, or terminate portions of our business, disqualify us from serving clients in certain states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clients that do business with government entities, or to refund some or all of our service fees or otherwise compensate our clients.</w:t>
      </w:r>
    </w:p>
    <w:p>
      <w:pPr>
        <w:spacing w:after="0" w:line="23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our business, financial condition and results of operations may be adversely impacted.</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this Annual Report on Form 10-K.</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State and Federal Laws Related to Reproductive Rights and Fertility Benefits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Licensing Requirements</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acting as a TPA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w:t>
      </w:r>
    </w:p>
    <w:p>
      <w:pPr>
        <w:spacing w:after="0" w:line="2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spacing w:after="0" w:line="2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 personnel obtain the necessary licensure, which may adversely affect our results of operations, our relationships with our clients and members, and cause us to be in breach of our contractual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HIPAA Privacy and Security Requirements</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When acting as a “Business Associate” under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the OCR. In the event the OCR finds that we have failed to comply with applicable HIPAA privacy and security standards, we could face civil and criminal penalties.</w:t>
      </w:r>
    </w:p>
    <w:p>
      <w:pPr>
        <w:spacing w:after="0" w:line="20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Data Privacy and Cybersecurity Requirements</w:t>
      </w:r>
    </w:p>
    <w:p>
      <w:pPr>
        <w:spacing w:after="0" w:line="25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Such laws could potentially impose conflicting requirements that would make compliance more challenging and could lead to additional liability. The enactment of such laws could have potentially conflicting requirements that would make compliance challenging and could lead to additional liability risks.</w:t>
      </w:r>
    </w:p>
    <w:p>
      <w:pPr>
        <w:spacing w:after="0" w:line="23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w:t>
      </w:r>
    </w:p>
    <w:p>
      <w:pPr>
        <w:spacing w:after="0" w:line="221"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Breaches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22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liabilities and consequences, including, costs of defending against litigation or settling claims and loss of existing and future clients.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ERISA Regulation</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DOL, the agency that enforces ERISA, will not in the future assert that the fiduciary obligations imposed by ERISA apply to certain aspects of our operations or courts will not reach such a ruling in private ERISA litigation.</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 xml:space="preserve">Separately, although ERISA generally preempts state laws that would otherwise apply to ERISA plans, the recent Supreme Court ruling in </w:t>
      </w:r>
      <w:r>
        <w:rPr>
          <w:rFonts w:ascii="Times New Roman" w:cs="Times New Roman" w:eastAsia="Times New Roman" w:hAnsi="Times New Roman"/>
          <w:sz w:val="18"/>
          <w:szCs w:val="18"/>
          <w:i w:val="1"/>
          <w:iCs w:val="1"/>
          <w:color w:val="auto"/>
        </w:rPr>
        <w:t xml:space="preserve">Rutledge v. Pharm. Care Mgmt. Ass’n </w:t>
      </w:r>
      <w:r>
        <w:rPr>
          <w:rFonts w:ascii="Times New Roman" w:cs="Times New Roman" w:eastAsia="Times New Roman" w:hAnsi="Times New Roman"/>
          <w:sz w:val="18"/>
          <w:szCs w:val="18"/>
          <w:color w:val="auto"/>
        </w:rPr>
        <w:t>established that ERISA does not preempt all state laws imposing transparency or other requirements on PBMs.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and Fee-Splitting Prohibitions</w:t>
      </w:r>
    </w:p>
    <w:p>
      <w:pPr>
        <w:spacing w:after="0" w:line="24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Communication</w:t>
      </w:r>
    </w:p>
    <w:p>
      <w:pPr>
        <w:spacing w:after="0" w:line="24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FTC enforcement,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broader healthcare industry and subject to increasing scrutiny and regulation within our business, including with respect to Progyny Rx’s PBM operations, which may adversely affect our business, financial condition and results of operations.</w:t>
      </w:r>
    </w:p>
    <w:p>
      <w:pPr>
        <w:spacing w:after="0" w:line="18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or create additional legal and regulatory requirements could impact our operations, the use of our solutions and services, and our ability to market new solutions and services, or could create unexpected liabilities for us.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in 2019, the U.S. Senate and House of Representatives proposed a number of bills that would, among other things, require PBMs to submit information on their costs, fees and rebates; require 100% of the rebates to be passed on to consumers; and/or impose rebates on manufacturers that choose to increase their drug prices at a rate that exceeds the inflation rate. In June 2022, the FTC announced an inquiry into the role of PBMs and stated its intent to closely scrutinize the impact of PBM rebates and fees on patients and payers. In September 2024, the FTC filed actions against certain PBMs related to their rebate practices.</w:t>
      </w:r>
    </w:p>
    <w:p>
      <w:pPr>
        <w:spacing w:after="0" w:line="227"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 xml:space="preserve">The Supreme Court’s decision in </w:t>
      </w:r>
      <w:r>
        <w:rPr>
          <w:rFonts w:ascii="Times New Roman" w:cs="Times New Roman" w:eastAsia="Times New Roman" w:hAnsi="Times New Roman"/>
          <w:sz w:val="18"/>
          <w:szCs w:val="18"/>
          <w:i w:val="1"/>
          <w:iCs w:val="1"/>
          <w:color w:val="auto"/>
        </w:rPr>
        <w:t>Rutledge v. Pharm. Care Mgmt. Ass’n</w:t>
      </w:r>
      <w:r>
        <w:rPr>
          <w:rFonts w:ascii="Times New Roman" w:cs="Times New Roman" w:eastAsia="Times New Roman" w:hAnsi="Times New Roman"/>
          <w:sz w:val="18"/>
          <w:szCs w:val="18"/>
          <w:color w:val="auto"/>
        </w:rPr>
        <w:t xml:space="preserve"> in December 2020 held that an Arkansas state law requiring PBMs to reimburse pharmacies at a price equal to or greater than the price pharmacies pay in purchasing medications from a wholesaler was not preempted by ERISA. The Supreme Court’s ruling solidifies the legality of state-level legislation regulating PBMs, which may encourage a new wave of legislation aimed at controlling prescription drug costs and providing pricing transparency. For example, effective June 1, 2022, New York enacted a law that establishes regulatory oversight of PBMs. Several states have proposed separate PBM bills, and at least 18 states have adopted PBM oversight laws. A number of these proposed laws would require PBMs to submit annual transparency reports or otherwise disclose contractual arrangements with health plans or health insurance issuers or allow regulators to conduct audits of PBM operations.</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9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spacing w:after="0" w:line="2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spacing w:after="0" w:line="20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5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w:t>
      </w:r>
    </w:p>
    <w:p>
      <w:pPr>
        <w:spacing w:after="0" w:line="23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experience volatility, and the value of our common stock may decline.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this and a variety of factors, some of which are beyond our control, including, but not limited to:</w:t>
      </w:r>
    </w:p>
    <w:p>
      <w:pPr>
        <w:spacing w:after="0" w:line="184"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stock repurchases by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38" w:lineRule="exact"/>
        <w:rPr>
          <w:rFonts w:ascii="Times New Roman" w:cs="Times New Roman" w:eastAsia="Times New Roman" w:hAnsi="Times New Roman"/>
          <w:sz w:val="22"/>
          <w:szCs w:val="22"/>
          <w:color w:val="auto"/>
        </w:rPr>
      </w:pPr>
    </w:p>
    <w:p>
      <w:pPr>
        <w:ind w:left="660" w:hanging="328"/>
        <w:spacing w:after="0" w:line="220" w:lineRule="auto"/>
        <w:tabs>
          <w:tab w:leader="none" w:pos="655"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publications of research or other reports about us or our industry, including those that may contain inaccurate or misleading information, financial estimates about us, or changes in recommendations or withdrawal of research coverage by securities analysts;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pricing of our solutions and services;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our projected operating and financial results;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political and market conditions;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data breaches affecting our company, provider clinics, third-party vendors or pharmacy network partners;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 by us or our stockholders;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senior management or key personnel;</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the trading volume of our common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war, incidents of terrorism, or responses to these events;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capital to fund continuing operations through the sale of additional equity securities and may impair our ability to make strategic investments, including acquiring other companies or investing in technologies, using our equity as consideration.</w:t>
      </w:r>
    </w:p>
    <w:p>
      <w:pPr>
        <w:spacing w:after="0" w:line="19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spacing w:after="0" w:line="21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demand for, or pricing of, our solutions;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level and mix of utilization of our solutions by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existing clients and attract new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client expansion rates;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3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operate;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new accounting pronouncements;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cybersecurity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including in connection with financings, acquisitions, our equity incentive plan or otherwise, could cause the market price of our common stock to decline.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1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as of December 31, 2024, there were an aggregate of 18,619,906 and 3,920,377 shares of our common stock subject to outstanding options and unvested restricted stock units, respectively.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receive a return on your investment will depend on appreciation in the price of our common stock.</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spacing w:after="0" w:line="231" w:lineRule="exact"/>
        <w:rPr>
          <w:sz w:val="20"/>
          <w:szCs w:val="20"/>
          <w:color w:val="auto"/>
        </w:rPr>
      </w:pPr>
    </w:p>
    <w:p>
      <w:pPr>
        <w:ind w:left="660" w:right="20" w:hanging="328"/>
        <w:spacing w:after="0" w:line="220"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issue, without further action by stockholders, shares of undesignated preferred stock with terms, rights, and preferences determined by our Board of Directors and which may be senior to our common stock;</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38" w:lineRule="exact"/>
        <w:rPr>
          <w:rFonts w:ascii="Arial" w:cs="Arial" w:eastAsia="Arial" w:hAnsi="Arial"/>
          <w:sz w:val="22"/>
          <w:szCs w:val="22"/>
          <w:color w:val="auto"/>
        </w:rPr>
      </w:pPr>
    </w:p>
    <w:p>
      <w:pPr>
        <w:ind w:left="660" w:right="24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26"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prohibit cumulative voting in the election of directors;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0"/>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60" w:right="20" w:hanging="328"/>
        <w:spacing w:after="0" w:line="227" w:lineRule="auto"/>
        <w:tabs>
          <w:tab w:leader="none" w:pos="655" w:val="left"/>
        </w:tabs>
        <w:numPr>
          <w:ilvl w:val="0"/>
          <w:numId w:val="21"/>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second amended and restated bylaws and certain provisions of our amended and restated certificate of incorporation.</w:t>
      </w:r>
    </w:p>
    <w:p>
      <w:pPr>
        <w:spacing w:after="0" w:line="21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21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Progyny, cybersecurity risk management is an integral part of our broader risk management system and processes. Our cybersecurity risk management program incorporates industry-standard frameworks, policies and practices designed to protect the security of our technology infrastructure and sensitive information.</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Our cybersecurity risk management program provides a framework for handling cybersecurity threats and incidents, including receiving notification of threats and incidents associated with the use of services provided by business associates. This framework includes steps for assessing the severity of a cybersecurity threat, identifying the source of a cybersecurity threat, including whether the cybersecurity threat is associated with a third-party service provider, and implementing cybersecurity countermeasures and mitigation strategies. In addition, it provides steps for our cybersecurity team to report to management and our Board of Directors on information security and cybersecurity matters, including material cybersecurity threats and incidents.</w:t>
      </w:r>
    </w:p>
    <w:p>
      <w:pPr>
        <w:spacing w:after="0" w:line="21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established and test our disaster recovery plan, and we protect against business interruption by backing up our major systems. Our cybersecurity team engages third-party security experts for risk assessments and system enhancements, including a third-party security consultant that conducts regular network security reviews, scans and audits. In addition, we have implemented various preventive measures, such as protections designed to safeguard against cyberattacks, including employee training, multifactor authentication, firewalls and virus detection software, periodic scans of our environment for any vulnerabilities and penetration testing.</w:t>
      </w:r>
    </w:p>
    <w:p>
      <w:pPr>
        <w:spacing w:after="0" w:line="21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Board of Directors has overall oversight responsibility for our risk management and has delegated cybersecurity risk management oversight to the Audit Committee. The Audit Committee is responsible for ensuring that management has processes in place that are designed to identify and evaluate cybersecurity risks to which we are exposed and has implemented processes and programs to manage cybersecurity risks and mitigate cybersecurity incidents. The Audit Committee reports material cybersecurity risks to our full Board of Directors. Management is responsible for identifying, considering and assessing material cybersecurity risks on an ongoing basis, establishing processes to ensure that such potential cybersecurity risk exposures are monitored, implementing appropriate mitigation measures and maintaining our cybersecurity program. Our cybersecurity program is overseen by our Chief Information Security Officer, who receives reports from our cybersecurity team and monitors the prevention, detection, mitigation, and remediation of cybersecurity incidents. Our Chief Information Security Officer and cybersecurity team are experienced information systems security professionals and information security managers with many years of experience. Management, including our Chief Information Security Officer and cybersecurity team, regularly update the Audit Committee on our cybersecurity program, material cybersecurity risks and mitigation strategies and provide cybersecurity reports annually that cover, among other topics, third-party assessments of our cybersecurity program, developments in cybersecurity and updates to our cybersecurity program and mitigation strategies.</w:t>
      </w:r>
    </w:p>
    <w:p>
      <w:pPr>
        <w:spacing w:after="0" w:line="21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2024,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 For more information about these risks, please see “Risk Factors—If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 in this Annual Report on Form 10-K.</w:t>
      </w:r>
    </w:p>
    <w:p>
      <w:pPr>
        <w:spacing w:after="0" w:line="19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corporate headquarters is located at 1359 Broadway, New York, New York 10018, under a sublease that commenced in September 2019 and expires in May 2029. In February 2023, we entered into a lease, which is expected to expire in the second quarter of 2036, for additional space in the same location and also for continued occupancy of our current space after the current sublease expires. We use our headquarters for administration, sales and marketing and client support. For additional information, please refer to Part II, Item 8 “Financial Statements and Supplementary Data — Note 7 — Leases”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LEGAL PROCEEDINGS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II, Item 8 “Financial Statements and Supplementary Data — Note 14 — Commitments and Contingencies — Arbitration/Litigation.”</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337" w:right="6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1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common stock is listed on the Nasdaq Global Select Market under the symbol “PGNY”.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January 31, 2025, there were approximately 42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intend to retain any future earnings and do not expect to pay cash dividends in the foreseeable future.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fourth quarter of 2024, we withheld shares through net settlements (where the award holder receives the net of the shares vested, after surrendering a portion of the shares back to the Company for tax withholding) for certain restricted stock units that vested.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29, 2024, the Company announced the February 2024 share repurchase program of up to $100 million in shares of common stock (the "February Share Repurchase Program"). On May 22, 2024, the Company announced the May 2024 share repurchase program of up to an additional $100 million in shares of common stock (the "May Share Repurchase Program"). On August 6, 2024, the Company announced the August 2024 share repurchase program of up to an additional $100 million in shares of common stock (the "August Share Repurchase Program," and together with the February Share Repurchase Program and the May Share Repurchase Program, the "2024 Share Repurchase Programs"). As of the year-ended December 31, 2024, the 2024 Share Repurchase Programs were completed, and no amounts remained available under the 2024 Share Repurchase Programs.</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and shares purchased as part of publicly announced programs in the three months ended December 31, 2024:</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20" w:type="dxa"/>
            <w:vAlign w:val="bottom"/>
          </w:tcPr>
          <w:p>
            <w:pPr>
              <w:spacing w:after="0"/>
              <w:rPr>
                <w:sz w:val="14"/>
                <w:szCs w:val="14"/>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4"/>
                <w:szCs w:val="14"/>
                <w:color w:val="auto"/>
              </w:rPr>
            </w:pPr>
          </w:p>
        </w:tc>
        <w:tc>
          <w:tcPr>
            <w:tcW w:w="15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Announced Plans or</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20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Shares Repurchased </w:t>
            </w:r>
            <w:r>
              <w:rPr>
                <w:rFonts w:ascii="Times New Roman" w:cs="Times New Roman" w:eastAsia="Times New Roman" w:hAnsi="Times New Roman"/>
                <w:sz w:val="7"/>
                <w:szCs w:val="7"/>
                <w:b w:val="1"/>
                <w:bCs w:val="1"/>
                <w:color w:val="auto"/>
              </w:rPr>
              <w:t>(1)</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20" w:type="dxa"/>
            <w:vAlign w:val="bottom"/>
          </w:tcPr>
          <w:p>
            <w:pPr>
              <w:spacing w:after="0"/>
              <w:rPr>
                <w:sz w:val="17"/>
                <w:szCs w:val="17"/>
                <w:color w:val="auto"/>
              </w:rPr>
            </w:pPr>
          </w:p>
        </w:tc>
        <w:tc>
          <w:tcPr>
            <w:tcW w:w="136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3"/>
        </w:trPr>
        <w:tc>
          <w:tcPr>
            <w:tcW w:w="4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2024 through October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3,277,815</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3,248,298</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2024 through November 30, 2024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31,761</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2024 through December 31, 2024</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34,205</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22"/>
                <w:szCs w:val="22"/>
                <w:color w:val="auto"/>
              </w:rPr>
            </w:pPr>
          </w:p>
        </w:tc>
        <w:tc>
          <w:tcPr>
            <w:tcW w:w="1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49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3,343,781</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3,248,298</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36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20" w:hanging="112"/>
        <w:spacing w:after="0"/>
        <w:tabs>
          <w:tab w:leader="none" w:pos="120" w:val="left"/>
        </w:tabs>
        <w:numPr>
          <w:ilvl w:val="0"/>
          <w:numId w:val="22"/>
        </w:numPr>
        <w:rPr>
          <w:rFonts w:ascii="Times New Roman" w:cs="Times New Roman" w:eastAsia="Times New Roman" w:hAnsi="Times New Roman"/>
          <w:sz w:val="7"/>
          <w:szCs w:val="7"/>
          <w:color w:val="auto"/>
        </w:rPr>
      </w:pPr>
      <w:r>
        <w:rPr>
          <w:rFonts w:ascii="Times New Roman" w:cs="Times New Roman" w:eastAsia="Times New Roman" w:hAnsi="Times New Roman"/>
          <w:sz w:val="18"/>
          <w:szCs w:val="18"/>
          <w:color w:val="auto"/>
        </w:rPr>
        <w:t>Includes share repurchases and shares withheld on net settlements of restricted stock units that vested under our equity incentive plans.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21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graph set forth below compares cumulative total return on our common stock for the last five fiscal years through the fiscal year ended December 31, 2024, with that of the (i) S&amp;P Health Care (Sector) and (ii) the Nasdaq Composite Index. Each index assumes an initial investment of $100 in each and, assumes the reinvestment of any dividends, based on closing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123190</wp:posOffset>
            </wp:positionV>
            <wp:extent cx="5254625" cy="32575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5462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140" w:type="dxa"/>
            <w:vAlign w:val="bottom"/>
            <w:gridSpan w:val="5"/>
          </w:tcPr>
          <w:p>
            <w:pPr>
              <w:ind w:left="740"/>
              <w:spacing w:after="0"/>
              <w:rPr>
                <w:sz w:val="20"/>
                <w:szCs w:val="20"/>
                <w:color w:val="auto"/>
              </w:rPr>
            </w:pPr>
            <w:r>
              <w:rPr>
                <w:rFonts w:ascii="Times New Roman" w:cs="Times New Roman" w:eastAsia="Times New Roman" w:hAnsi="Times New Roman"/>
                <w:sz w:val="13"/>
                <w:szCs w:val="13"/>
                <w:b w:val="1"/>
                <w:bCs w:val="1"/>
                <w:color w:val="auto"/>
              </w:rPr>
              <w:t>Cumulative Total Returns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0"/>
        </w:trPr>
        <w:tc>
          <w:tcPr>
            <w:tcW w:w="2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Company/Index</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12/31/2019</w:t>
            </w: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12/31/2020</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12/31/2021</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12/31/2022</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12/31/2023</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3"/>
                <w:szCs w:val="13"/>
                <w:b w:val="1"/>
                <w:bCs w:val="1"/>
                <w:color w:val="auto"/>
              </w:rPr>
              <w:t>12/31/2024</w:t>
            </w:r>
          </w:p>
        </w:tc>
      </w:tr>
      <w:tr>
        <w:trPr>
          <w:trHeight w:val="186"/>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Progyny, Inc.</w:t>
            </w:r>
          </w:p>
        </w:tc>
        <w:tc>
          <w:tcPr>
            <w:tcW w:w="1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$154.43</w:t>
            </w:r>
          </w:p>
        </w:tc>
        <w:tc>
          <w:tcPr>
            <w:tcW w:w="240" w:type="dxa"/>
            <w:vAlign w:val="bottom"/>
          </w:tcPr>
          <w:p>
            <w:pPr>
              <w:spacing w:after="0"/>
              <w:rPr>
                <w:sz w:val="16"/>
                <w:szCs w:val="16"/>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$186.85</w:t>
            </w:r>
          </w:p>
        </w:tc>
        <w:tc>
          <w:tcPr>
            <w:tcW w:w="240" w:type="dxa"/>
            <w:vAlign w:val="bottom"/>
          </w:tcPr>
          <w:p>
            <w:pPr>
              <w:spacing w:after="0"/>
              <w:rPr>
                <w:sz w:val="16"/>
                <w:szCs w:val="16"/>
                <w:color w:val="auto"/>
              </w:rPr>
            </w:pPr>
          </w:p>
        </w:tc>
        <w:tc>
          <w:tcPr>
            <w:tcW w:w="24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113.48</w:t>
            </w:r>
          </w:p>
        </w:tc>
        <w:tc>
          <w:tcPr>
            <w:tcW w:w="26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135.45</w:t>
            </w:r>
          </w:p>
        </w:tc>
        <w:tc>
          <w:tcPr>
            <w:tcW w:w="240" w:type="dxa"/>
            <w:vAlign w:val="bottom"/>
          </w:tcPr>
          <w:p>
            <w:pPr>
              <w:spacing w:after="0"/>
              <w:rPr>
                <w:sz w:val="16"/>
                <w:szCs w:val="16"/>
                <w:color w:val="auto"/>
              </w:rPr>
            </w:pPr>
          </w:p>
        </w:tc>
        <w:tc>
          <w:tcPr>
            <w:tcW w:w="22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62.84</w:t>
            </w:r>
          </w:p>
        </w:tc>
      </w:tr>
      <w:tr>
        <w:trPr>
          <w:trHeight w:val="23"/>
        </w:trPr>
        <w:tc>
          <w:tcPr>
            <w:tcW w:w="2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196"/>
        </w:trPr>
        <w:tc>
          <w:tcPr>
            <w:tcW w:w="2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S&amp;P 500 Health Care</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$111.43</w:t>
            </w:r>
          </w:p>
        </w:tc>
        <w:tc>
          <w:tcPr>
            <w:tcW w:w="24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$138.90</w:t>
            </w:r>
          </w:p>
        </w:tc>
        <w:tc>
          <w:tcPr>
            <w:tcW w:w="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133.44</w:t>
            </w:r>
          </w:p>
        </w:tc>
        <w:tc>
          <w:tcPr>
            <w:tcW w:w="2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133.85</w:t>
            </w:r>
          </w:p>
        </w:tc>
        <w:tc>
          <w:tcPr>
            <w:tcW w:w="2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135.06</w:t>
            </w:r>
          </w:p>
        </w:tc>
      </w:tr>
      <w:tr>
        <w:trPr>
          <w:trHeight w:val="193"/>
        </w:trPr>
        <w:tc>
          <w:tcPr>
            <w:tcW w:w="2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NASDAQ Composite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$100.00</w:t>
            </w:r>
          </w:p>
        </w:tc>
        <w:tc>
          <w:tcPr>
            <w:tcW w:w="26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$143.64</w:t>
            </w:r>
          </w:p>
        </w:tc>
        <w:tc>
          <w:tcPr>
            <w:tcW w:w="2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$175.44</w:t>
            </w:r>
          </w:p>
        </w:tc>
        <w:tc>
          <w:tcPr>
            <w:tcW w:w="24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116.65</w:t>
            </w:r>
          </w:p>
        </w:tc>
        <w:tc>
          <w:tcPr>
            <w:tcW w:w="26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167.30</w:t>
            </w:r>
          </w:p>
        </w:tc>
        <w:tc>
          <w:tcPr>
            <w:tcW w:w="24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1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 1A. “Risk Factors” of this Annual Report on Form 10-K. A discussion of the fiscal year ended December 31, 2023 compared to the year ended December 31, 2022 has been reported previously in our</w:t>
      </w:r>
    </w:p>
    <w:p>
      <w:pPr>
        <w:spacing w:after="0" w:line="5" w:lineRule="exact"/>
        <w:rPr>
          <w:sz w:val="20"/>
          <w:szCs w:val="20"/>
          <w:color w:val="auto"/>
        </w:rPr>
      </w:pPr>
    </w:p>
    <w:p>
      <w:pPr>
        <w:jc w:val="both"/>
        <w:spacing w:after="0" w:line="24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Annual Report on Form 10-K for the year ended December 31, 2023 filed with the SEC on February 29, 2024 (File No. 001-39100) under the heading “</w:t>
      </w:r>
      <w:hyperlink r:id="rId69">
        <w:r>
          <w:rPr>
            <w:rFonts w:ascii="Times New Roman" w:cs="Times New Roman" w:eastAsia="Times New Roman" w:hAnsi="Times New Roman"/>
            <w:sz w:val="18"/>
            <w:szCs w:val="18"/>
            <w:i w:val="1"/>
            <w:iCs w:val="1"/>
            <w:u w:val="single" w:color="auto"/>
            <w:color w:val="0000FF"/>
          </w:rPr>
          <w:t>Management's Discussion and Analysis of Financial Condition and Results of Operations - Comparison of Years Ended December 31, 2023 and 2022.</w:t>
        </w:r>
      </w:hyperlink>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 benefits management company specializing in fertility, family building, and women's health benefits solutions in the United States. For further information on our business and strategy, see Part I, Item 1. "Business" of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1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b w:val="1"/>
          <w:bCs w:val="1"/>
          <w:color w:val="auto"/>
        </w:rPr>
        <w:t xml:space="preserve">Fertility Benefits Solution. </w:t>
      </w:r>
      <w:r>
        <w:rPr>
          <w:rFonts w:ascii="Times New Roman" w:cs="Times New Roman" w:eastAsia="Times New Roman" w:hAnsi="Times New Roman"/>
          <w:sz w:val="18"/>
          <w:szCs w:val="18"/>
          <w:color w:val="auto"/>
        </w:rPr>
        <w:t>Our fertility benefits solution includes providing members with access to effective and cost-efficient fertility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23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20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Pharmacy Benefits Solution. </w:t>
      </w:r>
      <w:r>
        <w:rPr>
          <w:rFonts w:ascii="Times New Roman" w:cs="Times New Roman" w:eastAsia="Times New Roman" w:hAnsi="Times New Roman"/>
          <w:sz w:val="18"/>
          <w:szCs w:val="18"/>
          <w:color w:val="auto"/>
        </w:rPr>
        <w:t>Progyny Rx can only be purchased by clients that purchase our fertility benefits solution. Progyny Rx provides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88"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980" w:hanging="324"/>
        <w:spacing w:after="0" w:line="247" w:lineRule="auto"/>
        <w:tabs>
          <w:tab w:leader="none" w:pos="975"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formulary management, drug utilization review and cost containment services and other care management services.</w:t>
      </w:r>
    </w:p>
    <w:p>
      <w:pPr>
        <w:spacing w:after="0" w:line="208" w:lineRule="exact"/>
        <w:rPr>
          <w:sz w:val="20"/>
          <w:szCs w:val="20"/>
          <w:color w:val="auto"/>
        </w:rPr>
      </w:pPr>
    </w:p>
    <w:p>
      <w:pPr>
        <w:jc w:val="both"/>
        <w:ind w:left="980" w:hanging="324"/>
        <w:spacing w:after="0" w:line="252" w:lineRule="auto"/>
        <w:tabs>
          <w:tab w:leader="none" w:pos="97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PEPM fee, which is population-based. This allows us to provide access to our PCAs for fertility and family building education and guidance and other digital tools to all of our members, regardless of whether they ultimately pursue fertility treatment. PEPM fees represented 1% of our total revenue for the years ended December 31, 2024 and 2023, respectively.</w:t>
      </w:r>
    </w:p>
    <w:p>
      <w:pPr>
        <w:spacing w:after="0" w:line="18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Times New Roman" w:cs="Times New Roman" w:eastAsia="Times New Roman" w:hAnsi="Times New Roman"/>
          <w:sz w:val="8"/>
          <w:szCs w:val="8"/>
          <w:color w:val="auto"/>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8,000 employers in the United States who have a minimum of 1,000 employees, who together with Taft-Hartley labor populations and federal government populations, represents approximately 106 million potential covered lives in total. Our current member base of approximately 6.7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December 31, 2024 and 2023, we served 473 and 392 clients, representing 6,472,000 and 5,418,000 members, respectively.</w:t>
      </w:r>
    </w:p>
    <w:p>
      <w:pPr>
        <w:spacing w:after="0" w:line="181"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0" w:type="dxa"/>
            <w:vAlign w:val="bottom"/>
            <w:gridSpan w:val="2"/>
          </w:tcPr>
          <w:p>
            <w:pPr>
              <w:jc w:val="right"/>
              <w:ind w:right="1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Tier (Members)</w:t>
            </w: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gridSpan w:val="2"/>
            <w:vMerge w:val="continue"/>
          </w:tcPr>
          <w:p>
            <w:pPr>
              <w:spacing w:after="0"/>
              <w:rPr>
                <w:sz w:val="16"/>
                <w:szCs w:val="16"/>
                <w:color w:val="auto"/>
              </w:rPr>
            </w:pPr>
          </w:p>
        </w:tc>
        <w:tc>
          <w:tcPr>
            <w:tcW w:w="114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00" w:type="dxa"/>
            <w:vAlign w:val="bottom"/>
          </w:tcPr>
          <w:p>
            <w:pPr>
              <w:spacing w:after="0"/>
              <w:rPr>
                <w:sz w:val="16"/>
                <w:szCs w:val="16"/>
                <w:color w:val="auto"/>
              </w:rPr>
            </w:pPr>
          </w:p>
        </w:tc>
        <w:tc>
          <w:tcPr>
            <w:tcW w:w="160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820" w:type="dxa"/>
            <w:vAlign w:val="bottom"/>
          </w:tcPr>
          <w:p>
            <w:pPr>
              <w:ind w:left="360"/>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3"/>
        </w:trPr>
        <w:tc>
          <w:tcPr>
            <w:tcW w:w="5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2,500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261,000</w:t>
            </w: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217,000</w:t>
            </w:r>
          </w:p>
        </w:tc>
        <w:tc>
          <w:tcPr>
            <w:tcW w:w="0" w:type="dxa"/>
            <w:vAlign w:val="bottom"/>
          </w:tcPr>
          <w:p>
            <w:pPr>
              <w:spacing w:after="0"/>
              <w:rPr>
                <w:sz w:val="1"/>
                <w:szCs w:val="1"/>
                <w:color w:val="auto"/>
              </w:rPr>
            </w:pPr>
          </w:p>
        </w:tc>
      </w:tr>
      <w:tr>
        <w:trPr>
          <w:trHeight w:val="25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2,501 - 10,000</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1,151,000</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934,000</w:t>
            </w:r>
          </w:p>
        </w:tc>
        <w:tc>
          <w:tcPr>
            <w:tcW w:w="0" w:type="dxa"/>
            <w:vAlign w:val="bottom"/>
          </w:tcPr>
          <w:p>
            <w:pPr>
              <w:spacing w:after="0"/>
              <w:rPr>
                <w:sz w:val="1"/>
                <w:szCs w:val="1"/>
                <w:color w:val="auto"/>
              </w:rPr>
            </w:pPr>
          </w:p>
        </w:tc>
      </w:tr>
      <w:tr>
        <w:trPr>
          <w:trHeight w:val="26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10,001 - 50,000</w:t>
            </w: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1,935,000</w:t>
            </w:r>
          </w:p>
        </w:tc>
        <w:tc>
          <w:tcPr>
            <w:tcW w:w="1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1,588,000</w:t>
            </w:r>
          </w:p>
        </w:tc>
        <w:tc>
          <w:tcPr>
            <w:tcW w:w="0" w:type="dxa"/>
            <w:vAlign w:val="bottom"/>
          </w:tcPr>
          <w:p>
            <w:pPr>
              <w:spacing w:after="0"/>
              <w:rPr>
                <w:sz w:val="1"/>
                <w:szCs w:val="1"/>
                <w:color w:val="auto"/>
              </w:rPr>
            </w:pPr>
          </w:p>
        </w:tc>
      </w:tr>
      <w:tr>
        <w:trPr>
          <w:trHeight w:val="250"/>
        </w:trPr>
        <w:tc>
          <w:tcPr>
            <w:tcW w:w="5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50,000</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3,125,000</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2,679,000</w:t>
            </w:r>
          </w:p>
        </w:tc>
        <w:tc>
          <w:tcPr>
            <w:tcW w:w="0" w:type="dxa"/>
            <w:vAlign w:val="bottom"/>
          </w:tcPr>
          <w:p>
            <w:pPr>
              <w:spacing w:after="0"/>
              <w:rPr>
                <w:sz w:val="1"/>
                <w:szCs w:val="1"/>
                <w:color w:val="auto"/>
              </w:rPr>
            </w:pPr>
          </w:p>
        </w:tc>
      </w:tr>
      <w:tr>
        <w:trPr>
          <w:trHeight w:val="250"/>
        </w:trPr>
        <w:tc>
          <w:tcPr>
            <w:tcW w:w="5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6,472,000</w:t>
            </w:r>
          </w:p>
        </w:tc>
        <w:tc>
          <w:tcPr>
            <w:tcW w:w="100" w:type="dxa"/>
            <w:vAlign w:val="bottom"/>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392</w:t>
            </w:r>
          </w:p>
        </w:tc>
        <w:tc>
          <w:tcPr>
            <w:tcW w:w="120" w:type="dxa"/>
            <w:vAlign w:val="bottom"/>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5,418,000</w:t>
            </w:r>
          </w:p>
        </w:tc>
        <w:tc>
          <w:tcPr>
            <w:tcW w:w="0" w:type="dxa"/>
            <w:vAlign w:val="bottom"/>
          </w:tcPr>
          <w:p>
            <w:pPr>
              <w:spacing w:after="0"/>
              <w:rPr>
                <w:sz w:val="1"/>
                <w:szCs w:val="1"/>
                <w:color w:val="auto"/>
              </w:rPr>
            </w:pPr>
          </w:p>
        </w:tc>
      </w:tr>
    </w:tbl>
    <w:p>
      <w:pPr>
        <w:spacing w:after="0" w:line="2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Benefits Utilization.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6.5 million members as of December 31, 2024.</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highlights the number of ART cycles performed for Progyny members and the member utilization rates for each of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18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3"/>
          </w:tcPr>
          <w:p>
            <w:pPr>
              <w:jc w:val="center"/>
              <w:ind w:left="878"/>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180" w:type="dxa"/>
            <w:vAlign w:val="bottom"/>
            <w:gridSpan w:val="3"/>
          </w:tcPr>
          <w:p>
            <w:pPr>
              <w:jc w:val="center"/>
              <w:ind w:left="8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gridSpan w:val="3"/>
          </w:tcPr>
          <w:p>
            <w:pPr>
              <w:jc w:val="center"/>
              <w:ind w:left="91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480" w:type="dxa"/>
            <w:vAlign w:val="bottom"/>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1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3480" w:type="dxa"/>
            <w:vAlign w:val="bottom"/>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Assisted Reproductive Treatment (ART) Cycles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400" w:type="dxa"/>
            <w:vAlign w:val="bottom"/>
            <w:vMerge w:val="restart"/>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15,839</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61,114</w:t>
            </w: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58,013</w:t>
            </w:r>
          </w:p>
        </w:tc>
        <w:tc>
          <w:tcPr>
            <w:tcW w:w="0" w:type="dxa"/>
            <w:vAlign w:val="bottom"/>
          </w:tcPr>
          <w:p>
            <w:pPr>
              <w:spacing w:after="0"/>
              <w:rPr>
                <w:sz w:val="1"/>
                <w:szCs w:val="1"/>
                <w:color w:val="auto"/>
              </w:rPr>
            </w:pPr>
          </w:p>
        </w:tc>
      </w:tr>
      <w:tr>
        <w:trPr>
          <w:trHeight w:val="62"/>
        </w:trPr>
        <w:tc>
          <w:tcPr>
            <w:tcW w:w="3480" w:type="dxa"/>
            <w:vAlign w:val="bottom"/>
            <w:tcBorders>
              <w:bottom w:val="single" w:sz="8" w:color="CCEEFF"/>
            </w:tcBorders>
            <w:gridSpan w:val="3"/>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00" w:type="dxa"/>
            <w:vAlign w:val="bottom"/>
            <w:tcBorders>
              <w:bottom w:val="single" w:sz="8" w:color="CCEEFF"/>
            </w:tcBorders>
            <w:vMerge w:val="continue"/>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8"/>
                <w:szCs w:val="8"/>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181"/>
        </w:trPr>
        <w:tc>
          <w:tcPr>
            <w:tcW w:w="18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shd w:val="clear" w:color="auto" w:fill="CCEEFF"/>
              </w:rPr>
              <w:t>Utilization - Female Only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(2)</w:t>
            </w:r>
          </w:p>
        </w:tc>
        <w:tc>
          <w:tcPr>
            <w:tcW w:w="1600" w:type="dxa"/>
            <w:vAlign w:val="bottom"/>
            <w:gridSpan w:val="2"/>
            <w:vMerge w:val="restart"/>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5"/>
                <w:szCs w:val="15"/>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62"/>
        </w:trPr>
        <w:tc>
          <w:tcPr>
            <w:tcW w:w="18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0" w:type="dxa"/>
            <w:vAlign w:val="bottom"/>
            <w:tcBorders>
              <w:bottom w:val="single" w:sz="8" w:color="CCEEFF"/>
            </w:tcBorders>
            <w:gridSpan w:val="2"/>
            <w:vMerge w:val="continue"/>
            <w:shd w:val="clear" w:color="auto" w:fill="CCEEFF"/>
          </w:tcPr>
          <w:p>
            <w:pPr>
              <w:spacing w:after="0"/>
              <w:rPr>
                <w:sz w:val="5"/>
                <w:szCs w:val="5"/>
                <w:color w:val="auto"/>
              </w:rPr>
            </w:pPr>
          </w:p>
        </w:tc>
        <w:tc>
          <w:tcPr>
            <w:tcW w:w="14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600" w:type="dxa"/>
            <w:vAlign w:val="bottom"/>
            <w:tcBorders>
              <w:bottom w:val="single" w:sz="8" w:color="CCEEFF"/>
            </w:tcBorders>
            <w:shd w:val="clear" w:color="auto" w:fill="CCEEFF"/>
          </w:tcPr>
          <w:p>
            <w:pPr>
              <w:spacing w:after="0"/>
              <w:rPr>
                <w:sz w:val="5"/>
                <w:szCs w:val="5"/>
                <w:color w:val="auto"/>
              </w:rPr>
            </w:pPr>
          </w:p>
        </w:tc>
        <w:tc>
          <w:tcPr>
            <w:tcW w:w="90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480" w:type="dxa"/>
            <w:vAlign w:val="bottom"/>
            <w:tcBorders>
              <w:bottom w:val="single" w:sz="8" w:color="CCEEFF"/>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CCEEFF"/>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9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Average Members</w:t>
            </w:r>
            <w:r>
              <w:rPr>
                <w:rFonts w:ascii="Times New Roman" w:cs="Times New Roman" w:eastAsia="Times New Roman" w:hAnsi="Times New Roman"/>
                <w:sz w:val="8"/>
                <w:szCs w:val="8"/>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6,471,000</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5,442,000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6,404,000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5,383,000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20" w:hanging="332"/>
        <w:spacing w:after="0" w:line="266"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47" w:lineRule="auto"/>
        <w:tabs>
          <w:tab w:leader="none" w:pos="33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r>
        <w:rPr>
          <w:rFonts w:ascii="Arial" w:cs="Arial" w:eastAsia="Arial" w:hAnsi="Arial"/>
          <w:sz w:val="21"/>
          <w:szCs w:val="21"/>
          <w:color w:val="auto"/>
        </w:rPr>
        <w:t>.</w:t>
      </w:r>
    </w:p>
    <w:p>
      <w:pPr>
        <w:spacing w:after="0" w:line="18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300,000 members from a single client who are not reflected in utilization as a result of the client's chosen benefit design.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1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1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 This solution was introduced in the marketplace in the third quarter of 2017 and went live with a select number of clients on January 1, 2018.</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personnel costs, including stock-based compensation expense, and other costs necessary to deliver our care management services will continue to grow as we continue to add clients and their associated members.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to support the growth of our business.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income, net primarily includes interest income and expense, as well as investment income and losses.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20"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13335</wp:posOffset>
            </wp:positionV>
            <wp:extent cx="195453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50"/>
        </w:trPr>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80" w:type="dxa"/>
            <w:vAlign w:val="bottom"/>
            <w:gridSpan w:val="3"/>
          </w:tcPr>
          <w:p>
            <w:pPr>
              <w:jc w:val="center"/>
              <w:ind w:left="533"/>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8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1,167,221</w:t>
            </w:r>
          </w:p>
        </w:tc>
        <w:tc>
          <w:tcPr>
            <w:tcW w:w="120" w:type="dxa"/>
            <w:vAlign w:val="bottom"/>
          </w:tcPr>
          <w:p>
            <w:pPr>
              <w:spacing w:after="0"/>
              <w:rPr>
                <w:sz w:val="21"/>
                <w:szCs w:val="21"/>
                <w:color w:val="auto"/>
              </w:rPr>
            </w:pPr>
          </w:p>
        </w:tc>
        <w:tc>
          <w:tcPr>
            <w:tcW w:w="5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0" w:type="dxa"/>
            <w:vAlign w:val="bottom"/>
          </w:tcPr>
          <w:p>
            <w:pPr>
              <w:spacing w:after="0"/>
              <w:rPr>
                <w:sz w:val="1"/>
                <w:szCs w:val="1"/>
                <w:color w:val="auto"/>
              </w:rPr>
            </w:pPr>
          </w:p>
        </w:tc>
      </w:tr>
      <w:tr>
        <w:trPr>
          <w:trHeight w:val="162"/>
        </w:trPr>
        <w:tc>
          <w:tcPr>
            <w:tcW w:w="11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shd w:val="clear" w:color="auto" w:fill="CCEEFF"/>
              </w:rPr>
              <w:t>Cost of services</w:t>
            </w:r>
          </w:p>
        </w:tc>
        <w:tc>
          <w:tcPr>
            <w:tcW w:w="920" w:type="dxa"/>
            <w:vAlign w:val="bottom"/>
            <w:shd w:val="clear" w:color="auto" w:fill="CCEEFF"/>
          </w:tcPr>
          <w:p>
            <w:pPr>
              <w:jc w:val="right"/>
              <w:ind w:right="702"/>
              <w:spacing w:after="0"/>
              <w:rPr>
                <w:sz w:val="20"/>
                <w:szCs w:val="20"/>
                <w:color w:val="auto"/>
              </w:rPr>
            </w:pPr>
            <w:r>
              <w:rPr>
                <w:rFonts w:ascii="Times New Roman" w:cs="Times New Roman" w:eastAsia="Times New Roman" w:hAnsi="Times New Roman"/>
                <w:sz w:val="12"/>
                <w:szCs w:val="12"/>
                <w:color w:val="auto"/>
                <w:w w:val="99"/>
                <w:shd w:val="clear" w:color="auto" w:fill="CCEEFF"/>
              </w:rPr>
              <w:t>(1)</w:t>
            </w:r>
          </w:p>
        </w:tc>
        <w:tc>
          <w:tcPr>
            <w:tcW w:w="60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913,858</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849,799</w:t>
            </w:r>
          </w:p>
        </w:tc>
        <w:tc>
          <w:tcPr>
            <w:tcW w:w="0" w:type="dxa"/>
            <w:vAlign w:val="bottom"/>
          </w:tcPr>
          <w:p>
            <w:pPr>
              <w:spacing w:after="0"/>
              <w:rPr>
                <w:sz w:val="1"/>
                <w:szCs w:val="1"/>
                <w:color w:val="auto"/>
              </w:rPr>
            </w:pPr>
          </w:p>
        </w:tc>
      </w:tr>
      <w:tr>
        <w:trPr>
          <w:trHeight w:val="101"/>
        </w:trPr>
        <w:tc>
          <w:tcPr>
            <w:tcW w:w="1160" w:type="dxa"/>
            <w:vAlign w:val="bottom"/>
            <w:tcBorders>
              <w:bottom w:val="single" w:sz="8" w:color="CCEEFF"/>
            </w:tcBorders>
            <w:gridSpan w:val="2"/>
            <w:vMerge w:val="continue"/>
            <w:shd w:val="clear" w:color="auto" w:fill="CCEEFF"/>
          </w:tcPr>
          <w:p>
            <w:pPr>
              <w:spacing w:after="0"/>
              <w:rPr>
                <w:sz w:val="8"/>
                <w:szCs w:val="8"/>
                <w:color w:val="auto"/>
              </w:rPr>
            </w:pPr>
          </w:p>
        </w:tc>
        <w:tc>
          <w:tcPr>
            <w:tcW w:w="920" w:type="dxa"/>
            <w:vAlign w:val="bottom"/>
            <w:tcBorders>
              <w:bottom w:val="single" w:sz="8" w:color="CCEEFF"/>
            </w:tcBorders>
            <w:shd w:val="clear" w:color="auto" w:fill="CCEEFF"/>
          </w:tcPr>
          <w:p>
            <w:pPr>
              <w:spacing w:after="0"/>
              <w:rPr>
                <w:sz w:val="8"/>
                <w:szCs w:val="8"/>
                <w:color w:val="auto"/>
              </w:rPr>
            </w:pPr>
          </w:p>
        </w:tc>
        <w:tc>
          <w:tcPr>
            <w:tcW w:w="60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8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253,363</w:t>
            </w:r>
          </w:p>
        </w:tc>
        <w:tc>
          <w:tcPr>
            <w:tcW w:w="120" w:type="dxa"/>
            <w:vAlign w:val="bottom"/>
          </w:tcPr>
          <w:p>
            <w:pPr>
              <w:spacing w:after="0"/>
              <w:rPr>
                <w:sz w:val="21"/>
                <w:szCs w:val="21"/>
                <w:color w:val="auto"/>
              </w:rPr>
            </w:pPr>
          </w:p>
        </w:tc>
        <w:tc>
          <w:tcPr>
            <w:tcW w:w="5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238,799</w:t>
            </w:r>
          </w:p>
        </w:tc>
        <w:tc>
          <w:tcPr>
            <w:tcW w:w="0" w:type="dxa"/>
            <w:vAlign w:val="bottom"/>
          </w:tcPr>
          <w:p>
            <w:pPr>
              <w:spacing w:after="0"/>
              <w:rPr>
                <w:sz w:val="1"/>
                <w:szCs w:val="1"/>
                <w:color w:val="auto"/>
              </w:rPr>
            </w:pPr>
          </w:p>
        </w:tc>
      </w:tr>
      <w:tr>
        <w:trPr>
          <w:trHeight w:val="263"/>
        </w:trPr>
        <w:tc>
          <w:tcPr>
            <w:tcW w:w="8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804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34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0" w:type="dxa"/>
            <w:vAlign w:val="bottom"/>
          </w:tcPr>
          <w:p>
            <w:pPr>
              <w:spacing w:after="0"/>
              <w:rPr>
                <w:sz w:val="1"/>
                <w:szCs w:val="1"/>
                <w:color w:val="auto"/>
              </w:rPr>
            </w:pPr>
          </w:p>
        </w:tc>
      </w:tr>
      <w:tr>
        <w:trPr>
          <w:trHeight w:val="156"/>
        </w:trPr>
        <w:tc>
          <w:tcPr>
            <w:tcW w:w="120" w:type="dxa"/>
            <w:vAlign w:val="bottom"/>
            <w:shd w:val="clear" w:color="auto" w:fill="CCEEFF"/>
          </w:tcPr>
          <w:p>
            <w:pPr>
              <w:spacing w:after="0"/>
              <w:rPr>
                <w:sz w:val="13"/>
                <w:szCs w:val="13"/>
                <w:color w:val="auto"/>
              </w:rPr>
            </w:pPr>
          </w:p>
        </w:tc>
        <w:tc>
          <w:tcPr>
            <w:tcW w:w="19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shd w:val="clear" w:color="auto" w:fill="CCEEFF"/>
              </w:rPr>
              <w:t>General and administrative</w:t>
            </w:r>
          </w:p>
        </w:tc>
        <w:tc>
          <w:tcPr>
            <w:tcW w:w="6080" w:type="dxa"/>
            <w:vAlign w:val="bottom"/>
            <w:shd w:val="clear" w:color="auto" w:fill="CCEEFF"/>
          </w:tcPr>
          <w:p>
            <w:pPr>
              <w:jc w:val="right"/>
              <w:ind w:right="5882"/>
              <w:spacing w:after="0"/>
              <w:rPr>
                <w:sz w:val="20"/>
                <w:szCs w:val="20"/>
                <w:color w:val="auto"/>
              </w:rPr>
            </w:pPr>
            <w:r>
              <w:rPr>
                <w:rFonts w:ascii="Times New Roman" w:cs="Times New Roman" w:eastAsia="Times New Roman" w:hAnsi="Times New Roman"/>
                <w:sz w:val="12"/>
                <w:szCs w:val="12"/>
                <w:color w:val="auto"/>
                <w:w w:val="85"/>
                <w:shd w:val="clear" w:color="auto" w:fill="CCEEFF"/>
              </w:rPr>
              <w:t>(1)</w:t>
            </w:r>
          </w:p>
        </w:tc>
        <w:tc>
          <w:tcPr>
            <w:tcW w:w="34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0" w:type="dxa"/>
            <w:vAlign w:val="bottom"/>
          </w:tcPr>
          <w:p>
            <w:pPr>
              <w:spacing w:after="0"/>
              <w:rPr>
                <w:sz w:val="1"/>
                <w:szCs w:val="1"/>
                <w:color w:val="auto"/>
              </w:rPr>
            </w:pPr>
          </w:p>
        </w:tc>
      </w:tr>
      <w:tr>
        <w:trPr>
          <w:trHeight w:val="101"/>
        </w:trPr>
        <w:tc>
          <w:tcPr>
            <w:tcW w:w="120" w:type="dxa"/>
            <w:vAlign w:val="bottom"/>
            <w:tcBorders>
              <w:bottom w:val="single" w:sz="8" w:color="CCEEFF"/>
            </w:tcBorders>
            <w:shd w:val="clear" w:color="auto" w:fill="CCEEFF"/>
          </w:tcPr>
          <w:p>
            <w:pPr>
              <w:spacing w:after="0"/>
              <w:rPr>
                <w:sz w:val="8"/>
                <w:szCs w:val="8"/>
                <w:color w:val="auto"/>
              </w:rPr>
            </w:pPr>
          </w:p>
        </w:tc>
        <w:tc>
          <w:tcPr>
            <w:tcW w:w="1960" w:type="dxa"/>
            <w:vAlign w:val="bottom"/>
            <w:tcBorders>
              <w:bottom w:val="single" w:sz="8" w:color="CCEEFF"/>
            </w:tcBorders>
            <w:gridSpan w:val="2"/>
            <w:vMerge w:val="continue"/>
            <w:shd w:val="clear" w:color="auto" w:fill="CCEEFF"/>
          </w:tcPr>
          <w:p>
            <w:pPr>
              <w:spacing w:after="0"/>
              <w:rPr>
                <w:sz w:val="8"/>
                <w:szCs w:val="8"/>
                <w:color w:val="auto"/>
              </w:rPr>
            </w:pPr>
          </w:p>
        </w:tc>
        <w:tc>
          <w:tcPr>
            <w:tcW w:w="60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520" w:type="dxa"/>
            <w:vAlign w:val="bottom"/>
            <w:tcBorders>
              <w:bottom w:val="single" w:sz="8" w:color="CCEEFF"/>
            </w:tcBorders>
            <w:shd w:val="clear" w:color="auto" w:fill="CCEEFF"/>
          </w:tcPr>
          <w:p>
            <w:pPr>
              <w:spacing w:after="0"/>
              <w:rPr>
                <w:sz w:val="8"/>
                <w:szCs w:val="8"/>
                <w:color w:val="auto"/>
              </w:rPr>
            </w:pPr>
          </w:p>
        </w:tc>
        <w:tc>
          <w:tcPr>
            <w:tcW w:w="9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120" w:type="dxa"/>
            <w:vAlign w:val="bottom"/>
            <w:tcBorders>
              <w:bottom w:val="single" w:sz="8" w:color="CCEEFF"/>
            </w:tcBorders>
          </w:tcPr>
          <w:p>
            <w:pPr>
              <w:spacing w:after="0"/>
              <w:rPr>
                <w:sz w:val="21"/>
                <w:szCs w:val="21"/>
                <w:color w:val="auto"/>
              </w:rPr>
            </w:pPr>
          </w:p>
        </w:tc>
        <w:tc>
          <w:tcPr>
            <w:tcW w:w="804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185,908</w:t>
            </w:r>
          </w:p>
        </w:tc>
        <w:tc>
          <w:tcPr>
            <w:tcW w:w="120" w:type="dxa"/>
            <w:vAlign w:val="bottom"/>
            <w:tcBorders>
              <w:bottom w:val="single" w:sz="8" w:color="CCEEFF"/>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176,615</w:t>
            </w:r>
          </w:p>
        </w:tc>
        <w:tc>
          <w:tcPr>
            <w:tcW w:w="0" w:type="dxa"/>
            <w:vAlign w:val="bottom"/>
          </w:tcPr>
          <w:p>
            <w:pPr>
              <w:spacing w:after="0"/>
              <w:rPr>
                <w:sz w:val="1"/>
                <w:szCs w:val="1"/>
                <w:color w:val="auto"/>
              </w:rPr>
            </w:pPr>
          </w:p>
        </w:tc>
      </w:tr>
      <w:tr>
        <w:trPr>
          <w:trHeight w:val="257"/>
        </w:trPr>
        <w:tc>
          <w:tcPr>
            <w:tcW w:w="8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62,184</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0" w:type="dxa"/>
            <w:vAlign w:val="bottom"/>
          </w:tcPr>
          <w:p>
            <w:pPr>
              <w:spacing w:after="0"/>
              <w:rPr>
                <w:sz w:val="1"/>
                <w:szCs w:val="1"/>
                <w:color w:val="auto"/>
              </w:rPr>
            </w:pPr>
          </w:p>
        </w:tc>
      </w:tr>
      <w:tr>
        <w:trPr>
          <w:trHeight w:val="256"/>
        </w:trPr>
        <w:tc>
          <w:tcPr>
            <w:tcW w:w="8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12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70,691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2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0" w:type="dxa"/>
            <w:vAlign w:val="bottom"/>
          </w:tcPr>
          <w:p>
            <w:pPr>
              <w:spacing w:after="0"/>
              <w:rPr>
                <w:sz w:val="1"/>
                <w:szCs w:val="1"/>
                <w:color w:val="auto"/>
              </w:rPr>
            </w:pPr>
          </w:p>
        </w:tc>
      </w:tr>
      <w:tr>
        <w:trPr>
          <w:trHeight w:val="282"/>
        </w:trPr>
        <w:tc>
          <w:tcPr>
            <w:tcW w:w="816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0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8160" w:type="dxa"/>
            <w:vAlign w:val="bottom"/>
            <w:gridSpan w:val="4"/>
          </w:tcPr>
          <w:p>
            <w:pPr>
              <w:ind w:left="20"/>
              <w:spacing w:after="0" w:line="231"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198,760</w:t>
            </w:r>
          </w:p>
        </w:tc>
        <w:tc>
          <w:tcPr>
            <w:tcW w:w="120" w:type="dxa"/>
            <w:vAlign w:val="bottom"/>
          </w:tcPr>
          <w:p>
            <w:pPr>
              <w:spacing w:after="0"/>
              <w:rPr>
                <w:sz w:val="20"/>
                <w:szCs w:val="20"/>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187,076</w:t>
            </w:r>
          </w:p>
        </w:tc>
        <w:tc>
          <w:tcPr>
            <w:tcW w:w="0" w:type="dxa"/>
            <w:vAlign w:val="bottom"/>
          </w:tcPr>
          <w:p>
            <w:pPr>
              <w:spacing w:after="0"/>
              <w:rPr>
                <w:sz w:val="1"/>
                <w:szCs w:val="1"/>
                <w:color w:val="auto"/>
              </w:rPr>
            </w:pPr>
          </w:p>
        </w:tc>
      </w:tr>
      <w:tr>
        <w:trPr>
          <w:trHeight w:val="20"/>
        </w:trPr>
        <w:tc>
          <w:tcPr>
            <w:tcW w:w="816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(1) Includes stock-based compensation expense as follows:</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8160" w:type="dxa"/>
            <w:vAlign w:val="bottom"/>
            <w:gridSpan w:val="4"/>
            <w:vMerge w:val="continue"/>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center"/>
              <w:ind w:left="49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80" w:type="dxa"/>
            <w:vAlign w:val="bottom"/>
            <w:gridSpan w:val="3"/>
          </w:tcPr>
          <w:p>
            <w:pPr>
              <w:jc w:val="center"/>
              <w:ind w:left="53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2080" w:type="dxa"/>
            <w:vAlign w:val="bottom"/>
            <w:tcBorders>
              <w:bottom w:val="single" w:sz="8" w:color="CCEEFF"/>
            </w:tcBorders>
            <w:gridSpan w:val="3"/>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0" w:type="dxa"/>
            <w:vAlign w:val="bottom"/>
          </w:tcPr>
          <w:p>
            <w:pPr>
              <w:spacing w:after="0"/>
              <w:rPr>
                <w:sz w:val="1"/>
                <w:szCs w:val="1"/>
                <w:color w:val="auto"/>
              </w:rPr>
            </w:pPr>
          </w:p>
        </w:tc>
      </w:tr>
      <w:tr>
        <w:trPr>
          <w:trHeight w:val="250"/>
        </w:trPr>
        <w:tc>
          <w:tcPr>
            <w:tcW w:w="8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w:t>
            </w:r>
          </w:p>
        </w:tc>
        <w:tc>
          <w:tcPr>
            <w:tcW w:w="0" w:type="dxa"/>
            <w:vAlign w:val="bottom"/>
          </w:tcPr>
          <w:p>
            <w:pPr>
              <w:spacing w:after="0"/>
              <w:rPr>
                <w:sz w:val="1"/>
                <w:szCs w:val="1"/>
                <w:color w:val="auto"/>
              </w:rPr>
            </w:pPr>
          </w:p>
        </w:tc>
      </w:tr>
      <w:tr>
        <w:trPr>
          <w:trHeight w:val="263"/>
        </w:trPr>
        <w:tc>
          <w:tcPr>
            <w:tcW w:w="8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12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61,106</w:t>
            </w:r>
          </w:p>
        </w:tc>
        <w:tc>
          <w:tcPr>
            <w:tcW w:w="0" w:type="dxa"/>
            <w:vAlign w:val="bottom"/>
          </w:tcPr>
          <w:p>
            <w:pPr>
              <w:spacing w:after="0"/>
              <w:rPr>
                <w:sz w:val="1"/>
                <w:szCs w:val="1"/>
                <w:color w:val="auto"/>
              </w:rPr>
            </w:pPr>
          </w:p>
        </w:tc>
      </w:tr>
      <w:tr>
        <w:trPr>
          <w:trHeight w:val="250"/>
        </w:trPr>
        <w:tc>
          <w:tcPr>
            <w:tcW w:w="8160" w:type="dxa"/>
            <w:vAlign w:val="bottom"/>
            <w:gridSpan w:val="4"/>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128,130</w:t>
            </w:r>
          </w:p>
        </w:tc>
        <w:tc>
          <w:tcPr>
            <w:tcW w:w="120" w:type="dxa"/>
            <w:vAlign w:val="bottom"/>
          </w:tcPr>
          <w:p>
            <w:pPr>
              <w:spacing w:after="0"/>
              <w:rPr>
                <w:sz w:val="21"/>
                <w:szCs w:val="21"/>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40" w:hanging="332"/>
        <w:spacing w:after="0" w:line="250" w:lineRule="auto"/>
        <w:tabs>
          <w:tab w:leader="none" w:pos="33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 of Operations – Non-GAAP Financial Measure – Adjusted EBITDA" below for a reconciliation of Adjusted EBITDA to net income, the most directly comparable measure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20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16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22225</wp:posOffset>
            </wp:positionV>
            <wp:extent cx="2108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80" w:type="dxa"/>
            <w:vAlign w:val="bottom"/>
            <w:gridSpan w:val="2"/>
          </w:tcPr>
          <w:p>
            <w:pPr>
              <w:ind w:left="858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3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 of revenue:</w:t>
            </w:r>
          </w:p>
        </w:tc>
        <w:tc>
          <w:tcPr>
            <w:tcW w:w="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5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100.0 %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57"/>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78.3 %</w:t>
            </w:r>
          </w:p>
        </w:tc>
        <w:tc>
          <w:tcPr>
            <w:tcW w:w="12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78.1 %</w:t>
            </w:r>
          </w:p>
        </w:tc>
      </w:tr>
      <w:tr>
        <w:trPr>
          <w:trHeight w:val="250"/>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r>
      <w:tr>
        <w:trPr>
          <w:trHeight w:val="263"/>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spacing w:after="0"/>
              <w:rPr>
                <w:sz w:val="22"/>
                <w:szCs w:val="22"/>
                <w:color w:val="auto"/>
              </w:rPr>
            </w:pPr>
          </w:p>
        </w:tc>
      </w:tr>
      <w:tr>
        <w:trPr>
          <w:trHeight w:val="250"/>
        </w:trPr>
        <w:tc>
          <w:tcPr>
            <w:tcW w:w="8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r>
      <w:tr>
        <w:trPr>
          <w:trHeight w:val="257"/>
        </w:trPr>
        <w:tc>
          <w:tcPr>
            <w:tcW w:w="79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6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10.4 %</w:t>
            </w:r>
          </w:p>
        </w:tc>
        <w:tc>
          <w:tcPr>
            <w:tcW w:w="120" w:type="dxa"/>
            <w:vAlign w:val="bottom"/>
            <w:shd w:val="clear" w:color="auto" w:fill="CCEEFF"/>
          </w:tcPr>
          <w:p>
            <w:pPr>
              <w:spacing w:after="0"/>
              <w:rPr>
                <w:sz w:val="22"/>
                <w:szCs w:val="22"/>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w:t>
            </w:r>
          </w:p>
        </w:tc>
      </w:tr>
      <w:tr>
        <w:trPr>
          <w:trHeight w:val="250"/>
        </w:trPr>
        <w:tc>
          <w:tcPr>
            <w:tcW w:w="79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16.2 %</w:t>
            </w:r>
          </w:p>
        </w:tc>
      </w:tr>
      <w:tr>
        <w:trPr>
          <w:trHeight w:val="257"/>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57"/>
        </w:trPr>
        <w:tc>
          <w:tcPr>
            <w:tcW w:w="8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2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r>
      <w:tr>
        <w:trPr>
          <w:trHeight w:val="250"/>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76"/>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6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0"/>
        </w:trPr>
        <w:tc>
          <w:tcPr>
            <w:tcW w:w="79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1"/>
        </w:trPr>
        <w:tc>
          <w:tcPr>
            <w:tcW w:w="8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17.0 %</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17.2 %</w:t>
            </w:r>
          </w:p>
        </w:tc>
      </w:tr>
      <w:tr>
        <w:trPr>
          <w:trHeight w:val="20"/>
        </w:trPr>
        <w:tc>
          <w:tcPr>
            <w:tcW w:w="7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p>
      <w:pPr>
        <w:jc w:val="both"/>
        <w:ind w:left="8760"/>
        <w:spacing w:after="0"/>
        <w:tabs>
          <w:tab w:leader="none" w:pos="1034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33655</wp:posOffset>
            </wp:positionV>
            <wp:extent cx="195453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89" w:lineRule="exact"/>
        <w:rPr>
          <w:sz w:val="20"/>
          <w:szCs w:val="20"/>
          <w:color w:val="auto"/>
        </w:rPr>
      </w:pPr>
    </w:p>
    <w:p>
      <w:pPr>
        <w:ind w:left="92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6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63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7" w:lineRule="exact"/>
        <w:rPr>
          <w:sz w:val="20"/>
          <w:szCs w:val="20"/>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Interest and other income, net</w:t>
      </w:r>
    </w:p>
    <w:p>
      <w:pPr>
        <w:spacing w:after="0" w:line="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885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7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Years Ended December 31, 2024 and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ind w:left="1120"/>
        <w:spacing w:after="0"/>
        <w:tabs>
          <w:tab w:leader="none" w:pos="2040" w:val="left"/>
          <w:tab w:leader="none" w:pos="2700" w:val="left"/>
          <w:tab w:leader="none" w:pos="3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54,336</w:t>
        <w:tab/>
        <w:t>$</w:t>
      </w:r>
      <w:r>
        <w:rPr>
          <w:sz w:val="20"/>
          <w:szCs w:val="20"/>
          <w:color w:val="auto"/>
        </w:rPr>
        <w:tab/>
      </w:r>
      <w:r>
        <w:rPr>
          <w:rFonts w:ascii="Times New Roman" w:cs="Times New Roman" w:eastAsia="Times New Roman" w:hAnsi="Times New Roman"/>
          <w:sz w:val="17"/>
          <w:szCs w:val="17"/>
          <w:color w:val="auto"/>
        </w:rPr>
        <w:t>62,037</w:t>
      </w:r>
    </w:p>
    <w:p>
      <w:pPr>
        <w:spacing w:after="0" w:line="306" w:lineRule="exact"/>
        <w:rPr>
          <w:sz w:val="20"/>
          <w:szCs w:val="20"/>
          <w:color w:val="auto"/>
        </w:rPr>
      </w:pPr>
    </w:p>
    <w:p>
      <w:pPr>
        <w:ind w:left="2160"/>
        <w:spacing w:after="0"/>
        <w:tabs>
          <w:tab w:leader="none" w:pos="3720" w:val="left"/>
        </w:tabs>
        <w:rPr>
          <w:sz w:val="20"/>
          <w:szCs w:val="20"/>
          <w:color w:val="auto"/>
        </w:rPr>
      </w:pPr>
      <w:r>
        <w:rPr>
          <w:rFonts w:ascii="Times New Roman" w:cs="Times New Roman" w:eastAsia="Times New Roman" w:hAnsi="Times New Roman"/>
          <w:sz w:val="18"/>
          <w:szCs w:val="18"/>
          <w:color w:val="auto"/>
        </w:rPr>
        <w:t>3,175</w:t>
      </w:r>
      <w:r>
        <w:rPr>
          <w:sz w:val="20"/>
          <w:szCs w:val="20"/>
          <w:color w:val="auto"/>
        </w:rPr>
        <w:tab/>
      </w:r>
      <w:r>
        <w:rPr>
          <w:rFonts w:ascii="Times New Roman" w:cs="Times New Roman" w:eastAsia="Times New Roman" w:hAnsi="Times New Roman"/>
          <w:sz w:val="18"/>
          <w:szCs w:val="18"/>
          <w:color w:val="auto"/>
        </w:rPr>
        <w:t>2,281</w:t>
      </w:r>
    </w:p>
    <w:p>
      <w:pPr>
        <w:spacing w:after="0" w:line="50" w:lineRule="exact"/>
        <w:rPr>
          <w:sz w:val="20"/>
          <w:szCs w:val="20"/>
          <w:color w:val="auto"/>
        </w:rPr>
      </w:pPr>
    </w:p>
    <w:p>
      <w:pPr>
        <w:ind w:left="1980"/>
        <w:spacing w:after="0"/>
        <w:tabs>
          <w:tab w:leader="none" w:pos="3560" w:val="left"/>
        </w:tabs>
        <w:rPr>
          <w:sz w:val="20"/>
          <w:szCs w:val="20"/>
          <w:color w:val="auto"/>
        </w:rPr>
      </w:pPr>
      <w:r>
        <w:rPr>
          <w:rFonts w:ascii="Times New Roman" w:cs="Times New Roman" w:eastAsia="Times New Roman" w:hAnsi="Times New Roman"/>
          <w:sz w:val="17"/>
          <w:szCs w:val="17"/>
          <w:color w:val="auto"/>
        </w:rPr>
        <w:t>128,130</w:t>
      </w:r>
      <w:r>
        <w:rPr>
          <w:sz w:val="20"/>
          <w:szCs w:val="20"/>
          <w:color w:val="auto"/>
        </w:rPr>
        <w:tab/>
      </w:r>
      <w:r>
        <w:rPr>
          <w:rFonts w:ascii="Times New Roman" w:cs="Times New Roman" w:eastAsia="Times New Roman" w:hAnsi="Times New Roman"/>
          <w:sz w:val="17"/>
          <w:szCs w:val="17"/>
          <w:color w:val="auto"/>
        </w:rPr>
        <w:t>122,611</w:t>
      </w:r>
    </w:p>
    <w:p>
      <w:pPr>
        <w:spacing w:after="0" w:line="61" w:lineRule="exact"/>
        <w:rPr>
          <w:sz w:val="20"/>
          <w:szCs w:val="20"/>
          <w:color w:val="auto"/>
        </w:rPr>
      </w:pPr>
    </w:p>
    <w:p>
      <w:pPr>
        <w:jc w:val="both"/>
        <w:ind w:left="1940"/>
        <w:spacing w:after="0"/>
        <w:tabs>
          <w:tab w:leader="none" w:pos="3620" w:val="left"/>
        </w:tabs>
        <w:rPr>
          <w:sz w:val="20"/>
          <w:szCs w:val="20"/>
          <w:color w:val="auto"/>
        </w:rPr>
      </w:pPr>
      <w:r>
        <w:rPr>
          <w:rFonts w:ascii="Times New Roman" w:cs="Times New Roman" w:eastAsia="Times New Roman" w:hAnsi="Times New Roman"/>
          <w:sz w:val="18"/>
          <w:szCs w:val="18"/>
          <w:color w:val="auto"/>
        </w:rPr>
        <w:t>(15,747)</w:t>
      </w:r>
      <w:r>
        <w:rPr>
          <w:sz w:val="20"/>
          <w:szCs w:val="20"/>
          <w:color w:val="auto"/>
        </w:rPr>
        <w:tab/>
      </w:r>
      <w:r>
        <w:rPr>
          <w:rFonts w:ascii="Times New Roman" w:cs="Times New Roman" w:eastAsia="Times New Roman" w:hAnsi="Times New Roman"/>
          <w:sz w:val="18"/>
          <w:szCs w:val="18"/>
          <w:color w:val="auto"/>
        </w:rPr>
        <w:t>(8,507)</w:t>
      </w:r>
    </w:p>
    <w:p>
      <w:pPr>
        <w:spacing w:after="0" w:line="50" w:lineRule="exact"/>
        <w:rPr>
          <w:sz w:val="20"/>
          <w:szCs w:val="20"/>
          <w:color w:val="auto"/>
        </w:rPr>
      </w:pPr>
    </w:p>
    <w:p>
      <w:pPr>
        <w:jc w:val="both"/>
        <w:ind w:left="2020"/>
        <w:spacing w:after="0"/>
        <w:tabs>
          <w:tab w:leader="none" w:pos="3740" w:val="left"/>
        </w:tabs>
        <w:rPr>
          <w:sz w:val="20"/>
          <w:szCs w:val="20"/>
          <w:color w:val="auto"/>
        </w:rPr>
      </w:pPr>
      <w:r>
        <w:rPr>
          <w:rFonts w:ascii="Times New Roman" w:cs="Times New Roman" w:eastAsia="Times New Roman" w:hAnsi="Times New Roman"/>
          <w:sz w:val="18"/>
          <w:szCs w:val="18"/>
          <w:color w:val="auto"/>
        </w:rPr>
        <w:t>28,866</w:t>
      </w:r>
      <w:r>
        <w:rPr>
          <w:sz w:val="20"/>
          <w:szCs w:val="20"/>
          <w:color w:val="auto"/>
        </w:rPr>
        <w:tab/>
      </w:r>
      <w:r>
        <w:rPr>
          <w:rFonts w:ascii="Times New Roman" w:cs="Times New Roman" w:eastAsia="Times New Roman" w:hAnsi="Times New Roman"/>
          <w:sz w:val="18"/>
          <w:szCs w:val="18"/>
          <w:color w:val="auto"/>
        </w:rPr>
        <w:t>8,654</w:t>
      </w:r>
    </w:p>
    <w:p>
      <w:pPr>
        <w:spacing w:after="0" w:line="63" w:lineRule="exact"/>
        <w:rPr>
          <w:sz w:val="20"/>
          <w:szCs w:val="20"/>
          <w:color w:val="auto"/>
        </w:rPr>
      </w:pPr>
    </w:p>
    <w:p>
      <w:pPr>
        <w:ind w:left="1120"/>
        <w:spacing w:after="0"/>
        <w:tabs>
          <w:tab w:leader="none" w:pos="1960" w:val="left"/>
          <w:tab w:leader="none" w:pos="2700" w:val="left"/>
          <w:tab w:leader="none" w:pos="35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198,760</w:t>
        <w:tab/>
        <w:t>$</w:t>
      </w:r>
      <w:r>
        <w:rPr>
          <w:sz w:val="20"/>
          <w:szCs w:val="20"/>
          <w:color w:val="auto"/>
        </w:rPr>
        <w:tab/>
      </w:r>
      <w:r>
        <w:rPr>
          <w:rFonts w:ascii="Times New Roman" w:cs="Times New Roman" w:eastAsia="Times New Roman" w:hAnsi="Times New Roman"/>
          <w:sz w:val="17"/>
          <w:szCs w:val="17"/>
          <w:color w:val="auto"/>
        </w:rPr>
        <w:t>187,076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51435</wp:posOffset>
            </wp:positionV>
            <wp:extent cx="195453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22225</wp:posOffset>
            </wp:positionV>
            <wp:extent cx="19373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937385" cy="8255"/>
                    </a:xfrm>
                    <a:prstGeom prst="rect">
                      <a:avLst/>
                    </a:prstGeom>
                    <a:noFill/>
                  </pic:spPr>
                </pic:pic>
              </a:graphicData>
            </a:graphic>
          </wp:anchor>
        </w:drawing>
      </w:r>
    </w:p>
    <w:p>
      <w:pPr>
        <w:spacing w:after="0" w:line="31" w:lineRule="exact"/>
        <w:rPr>
          <w:sz w:val="20"/>
          <w:szCs w:val="20"/>
          <w:color w:val="auto"/>
        </w:rPr>
      </w:pPr>
    </w:p>
    <w:p>
      <w:pPr>
        <w:spacing w:after="0"/>
        <w:tabs>
          <w:tab w:leader="none" w:pos="1560" w:val="left"/>
          <w:tab w:leader="none" w:pos="302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-379730</wp:posOffset>
            </wp:positionH>
            <wp:positionV relativeFrom="paragraph">
              <wp:posOffset>33655</wp:posOffset>
            </wp:positionV>
            <wp:extent cx="30346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034665" cy="8255"/>
                    </a:xfrm>
                    <a:prstGeom prst="rect">
                      <a:avLst/>
                    </a:prstGeom>
                    <a:noFill/>
                  </pic:spPr>
                </pic:pic>
              </a:graphicData>
            </a:graphic>
          </wp:anchor>
        </w:drawing>
      </w:r>
    </w:p>
    <w:p>
      <w:pPr>
        <w:spacing w:after="0" w:line="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61" w:lineRule="exact"/>
        <w:rPr>
          <w:sz w:val="20"/>
          <w:szCs w:val="20"/>
          <w:color w:val="auto"/>
        </w:rPr>
      </w:pPr>
    </w:p>
    <w:p>
      <w:pPr>
        <w:sectPr>
          <w:pgSz w:w="11900" w:h="16838" w:orient="portrait"/>
          <w:cols w:equalWidth="0" w:num="2">
            <w:col w:w="6340" w:space="720"/>
            <w:col w:w="4180"/>
          </w:cols>
          <w:pgMar w:left="320" w:top="337" w:right="339" w:bottom="1440" w:gutter="0" w:footer="0" w:header="0"/>
          <w:type w:val="continuous"/>
        </w:sectPr>
      </w:pPr>
    </w:p>
    <w:p>
      <w:pPr>
        <w:ind w:left="20"/>
        <w:spacing w:after="0"/>
        <w:tabs>
          <w:tab w:leader="none" w:pos="6460" w:val="left"/>
          <w:tab w:leader="none" w:pos="7120" w:val="left"/>
          <w:tab w:leader="none" w:pos="8040" w:val="left"/>
          <w:tab w:leader="none" w:pos="8700" w:val="left"/>
          <w:tab w:leader="none" w:pos="10900" w:val="left"/>
        </w:tabs>
        <w:rPr>
          <w:sz w:val="20"/>
          <w:szCs w:val="20"/>
          <w:color w:val="auto"/>
        </w:rPr>
      </w:pPr>
      <w:r>
        <w:rPr>
          <w:rFonts w:ascii="Times New Roman" w:cs="Times New Roman" w:eastAsia="Times New Roman" w:hAnsi="Times New Roman"/>
          <w:sz w:val="18"/>
          <w:szCs w:val="18"/>
          <w:color w:val="auto"/>
        </w:rPr>
        <w:t>Revenue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1,167,221</w:t>
        <w:tab/>
        <w:t>$</w:t>
      </w:r>
      <w:r>
        <w:rPr>
          <w:sz w:val="20"/>
          <w:szCs w:val="20"/>
          <w:color w:val="auto"/>
        </w:rPr>
        <w:tab/>
      </w:r>
      <w:r>
        <w:rPr>
          <w:rFonts w:ascii="Times New Roman" w:cs="Times New Roman" w:eastAsia="Times New Roman" w:hAnsi="Times New Roman"/>
          <w:sz w:val="18"/>
          <w:szCs w:val="18"/>
          <w:color w:val="auto"/>
        </w:rPr>
        <w:t>1,088,598</w:t>
      </w:r>
      <w:r>
        <w:rPr>
          <w:sz w:val="20"/>
          <w:szCs w:val="20"/>
          <w:color w:val="auto"/>
        </w:rPr>
        <w:tab/>
      </w:r>
      <w:r>
        <w:rPr>
          <w:rFonts w:ascii="Times New Roman" w:cs="Times New Roman" w:eastAsia="Times New Roman" w:hAnsi="Times New Roman"/>
          <w:sz w:val="18"/>
          <w:szCs w:val="18"/>
          <w:color w:val="auto"/>
        </w:rPr>
        <w:t>7 %</w:t>
      </w:r>
    </w:p>
    <w:p>
      <w:pPr>
        <w:spacing w:after="0" w:line="3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Revenue increased by $78.6 million, or 7%, for the year ended December 31, 2024 compared to the year ended December 31, 2023. This increase is primarily due to a $53.2 million, or 8% increase, in revenue from our fertility benefits solution and a $25.4 million or 6% increase in revenue from our Progyny Rx solution. The increase in revenue from our fertility benefits solution and Progyny Rx solution were primarily due to the increase in the number of clients and covered lives.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913,858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849,799</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Cost of services increased by $64.1 million, or 8%, for the year ended December 31, 2024 compared to the year ended December 31, 2023 primarily due to an increase in medical treatment and pharmacy prescription costs associated with fertility treatments delivered. This increase in cost of services was also attributable to an increase in personnel-related costs primarily due to incremental headcount as well as an $2.3 million increase in stock-based compensation expense.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gridSpan w:val="3"/>
          </w:tcPr>
          <w:p>
            <w:pPr>
              <w:jc w:val="center"/>
              <w:ind w:left="52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60" w:type="dxa"/>
            <w:vAlign w:val="bottom"/>
            <w:gridSpan w:val="3"/>
          </w:tcPr>
          <w:p>
            <w:pPr>
              <w:jc w:val="center"/>
              <w:ind w:left="50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253,363</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238,799</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21.7 %</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$14.6 million, or 6%, for the year ended December 31, 2024 compared to the year ended December 31, 2023.</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 decreased 20 basis points for the year ended December 31, 2024 compared to year ended December 31, 2023, primarily due to an increase in personnel-related costs in the delivery of our care management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63,948</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 increased by $4.5 million, or 7%, for the year ended December 31, 2024 compared to the year ended December 31, 2023. This increase was primarily due to a $3.5 million increase in personnel-related costs attributable to an increase in stock-based compensation expense, as well as a $1.0 million increase in other related sales and marketing expenses.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121,960</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increased by $4.8 million, or 4%, for the year ended December 31, 2024 compared to the year ended December 31, 2023. This increase was primarily due to a $6.0 million increase in personnel-related costs attributable to incremental head count, and a $2.3 million increase in other related general and administrative expenses, partially offset by a $3.5 million decrease in bad debt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and other income, net increased by $7.2 million for the year ended December 31, 2024 compared to the year ended December 31, 2023, primarily due to increases in investment and interest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3"/>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center"/>
              <w:ind w:left="54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0" w:type="dxa"/>
            <w:vAlign w:val="bottom"/>
            <w:gridSpan w:val="5"/>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2024, we recorded a provision for income taxes of $28.9 million, as compared to a provision for income taxes of $8.7 million for the year ended December 31, 2023, primarily due to a higher operating profit as well as a decrease in tax benefits for equity compensation.</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of December 31, 2024, we had $162.3 million of cash and cash equivalents and $65.6 million of marketable securities. We have financed our operations primarily through sales of our solutions and the net proceeds we have received from sales of equity securities.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1st,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and cash flow from operations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73"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22225</wp:posOffset>
            </wp:positionV>
            <wp:extent cx="195453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6"/>
        </w:trPr>
        <w:tc>
          <w:tcPr>
            <w:tcW w:w="8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19"/>
                <w:szCs w:val="19"/>
                <w:color w:val="auto"/>
              </w:rPr>
            </w:pPr>
          </w:p>
        </w:tc>
      </w:tr>
      <w:tr>
        <w:trPr>
          <w:trHeight w:val="23"/>
        </w:trPr>
        <w:tc>
          <w:tcPr>
            <w:tcW w:w="8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179,105</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188,814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195,792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(200,525)</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(309,880)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(11,072)</w:t>
            </w: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82"/>
        </w:trPr>
        <w:tc>
          <w:tcPr>
            <w:tcW w:w="8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65,018</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Net cash provided by operating activities was $179.1 million for the year ended December 31, 2024, primarily consisting of net income of $54.3 million adjusted for certain non-cash items, which included $128.1 million of stock-based compensation expense, $16.4 million of bad debt expense, $10.5 million of deferred tax benefit, $3.2 million of depreciation and amortization, $2.1 million of net accretion of discounts on marketable securities, and $1.4 million loss on disposal of property and equipment. Changes in operating assets and liabilities resulted in cash used in operating activities from a decrease in accounts payable of $30.3 million, and an increase in accounts receivable of $9.9 million, partially offset by cash provided by operating activities from increases in accrued expenses and other current liabilities of $9.9 million and other noncurrent assets and liabilities of $0.4 million, and a decrease in prepaid expenses and other current assets of $18.0 million. These changes are a result of the impact of revenue growth and our operating results as well as the timing of cash collections and payments to third parties, including $40.4 million of cash paid for income taxes, net of refunds for the year ended December 31, 2024.</w:t>
      </w:r>
    </w:p>
    <w:p>
      <w:pPr>
        <w:spacing w:after="0" w:line="20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Net cash provided by operating activities was $188.8 million for the year ended December 31, 2023, primarily consisting of net income of $62.0 million adjusted for certain non-cash items, which included $122.6 million of stock-based compensation expense, $19.9 million of bad debt expense, $3.7 million of deferred tax expense, and $2.3 million of depreciation and amortization. Changes in operating assets and liabilities resulted in cash used in operating activities from an increase in prepaid expenses and other current assets of $22.9 million and accounts receivable of $21.7 million, partially</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offset by cash provided by operating activities from increases in accounts payable of $16.2 million, accrued expenses and other current liabilities of $10.4 million and other noncurrent assets and liabilities of $0.6 million. These changes are a result of the impact of revenue growth and our operating results as well as new agreements with our pharmacy program partners, which include more favorable payment receipt terms and resulted in an additional receipt in the year ended December 31, 2023, and the timing of cash collections and payments to third parties, including a $20.0 million prepayment on the dispensing of certain medications from one of our pharmacy program partners in the year ended December 31, 2023.</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Net cash provided by investing activities was $195.8 million for the year ended December 31, 2024, which primarily consisted of net sales in marketable securities of $206.5 million, partially offset by $5.3 million used in a business acquisition, net of cash acquired. For the year ended December 31, 2023, net cash used in investing activities was $200.5 million, which primarily consisted of net investments in marketable securities of $196.9 million. The remainder of the activity for the year ended December 31, 2024 consisted of purchases of computers, software, including capitalized software development costs, and furniture and fixtures. Our capital investments, including investments in technology and the development of software, are expected to increase over the next 12 months as we continue to invest in our benefits offerings and growth strategy.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was $309.9 million for the year ended December 31, 2024, consisting of $300.3 million of repurchases of common stock under the 2024 Share Repurchase Programs, inclusive of $0.4 million in trading fees and payments of $12.0 million for employee taxes related to the net settlement of equity awards, partially offset by $1.1 million in proceeds from stock option exercises and $1.3 million in proceeds from contributions to our employee stock purchase plan.</w:t>
      </w:r>
    </w:p>
    <w:p>
      <w:pPr>
        <w:spacing w:after="0" w:line="19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Net cash used in financing activities was $11.1 million for the year ended December 31, 2023, consisting of payments of $17.2 million for employee taxes related to the net settlement of equity awards, partially offset by $4.9 million in proceeds from stock option exercises and $1.3 million in proceeds from contributions to our employee stock purchase plan.</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Programs</w:t>
      </w:r>
    </w:p>
    <w:p>
      <w:pPr>
        <w:spacing w:after="0" w:line="20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February 2024, our Board of Directors authorized a share repurchase program of up to $100 million in shares of common stock. In May 2024, our Board of Directors authorized an additional share repurchase program of up to $100 million in shares of common stock. In August 2024, our Board of Directors authorized an additional share repurchase program of up to $100 million in shares of common stock.</w:t>
      </w:r>
    </w:p>
    <w:p>
      <w:pPr>
        <w:spacing w:after="0" w:line="22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2024, we repurchased a total of 12,382,193 shares of common stock under the 2024 Share Repurchase Programs at an average price per share of $24.22 and a total cost of $300.3 million, inclusive of $0.4 million in trading fees. In addition, the Company recognized $2.6 million of excise taxes related to the share repurchases. As of the year ended December 31, 2024, the share repurchase programs were completed, and no amounts remained available for repurchase under the programs.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February 2022, we entered into a lease agreement commencing in February 2023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pay base rent of approximately $1.4 million per year through the end of the fifth year and approximately $1.5 million per year thereafter through the second quarter of 2036, the expected expiration date. For the 21,262 square foot office, we will pay the base rent of approximately $1.3 million starting in the second quarter of 2026 for five years and approximately $1.4 million per year thereafter through the second quarter of 2036, the expected expiration date. For our current 25,212 square foot office, we will pay the base rent of approximately $1.6 million per year beginning in June 2029, which is the lease commencement date, through the second quarter of 2036, the expected expiration date.</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7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additional information about our significant accounting policies and estimates, see Note 1 – Business and Basis of Presentation and Note 2 - Summary of Significant Accounting Policies in the notes to the consolidated financial statements included in Part II, Item 8 of this Annual Report on Form 10-K.</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 and Accrued Claims Payable</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Fertility benefits solution revenue is recognized based on the negotiated price with our clients and includes the portion to be paid directly by the member. Revenue is recognized when Smart Cycle services are completed for a member, which includes estimates of accrued receivables. We estimate accrued receivables based on historical experience for those fertility benefit services provided but for which a claim has not been received from the provider clinic, which includes assumptions regarding the lag between the authorization date and service date as well as estimates for changes and cancellations of services. We include accrued receivables within accounts receivable on our consolidated balance sheet. As of December 31, 2024 and 2023, accrued receivables were $45.6 million and $45.8 million,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the same time, we estimate cost of services and accrued claims payables based on the amount to be paid to the provider clinic and expected gross margin on fertility benefit services. Accrued claims payable of $32.1 million and $30.3 million as of December 31, 2024 and 2023, respectively, are included within accrued expenses and other current liabilities in the consolidated balance sheet.</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estimates are adjusted to actual at the time of billing and these adjustments have historically not been material.</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recognize stock-based compensation expense based on the fair value of stock-based awards granted to employees and directors on the date of grant. We estimate the fair value of each stock-based award on the measurement date using either the Black-Scholes option-pricing model for stock options and stock purchased under the employee stock purchase plan or the closing market price of our common stock for restricted stock units, including those with performance-based vesting criteria.</w:t>
      </w:r>
    </w:p>
    <w:p>
      <w:pPr>
        <w:spacing w:after="0" w:line="17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Black-Scholes option-pricing model requires the input of subjective assumptions, including (1) the expected stock price volatility, (2) the expected term of the award, (3) the risk-free interest rate and (4) expected dividends. Due to the lack of historical and implied volatility data of our common stock, the expected stock price volatility is estimated based on the historical volatilities of the daily closing prices of a specified group of companies in our industry for a period equal to the expected term of the option. We selected companies with comparable characteristics to our Company, including enterprise value, risk profiles and position within the industry, that have historical stock price information sufficient to meet the expected term of the stock option. The expected term of the award represents the period of time that options granted are expected to be outstanding and is calculated utilizing the simplified method, which is the mid-point between the vesting date and end of the contractual term for each option. The risk-free interest rate is based on the yield of zero-coupon U.S. Treasury securities for the period that is consistent with the expected term of the stock option. The dividend yield is assumed to be none as we have not paid dividends, nor do we anticipate paying dividends. The weighted-average estimated fair value of stock option awards granted in the year ended December 31, 2024 was $16.60. Changes in these inputs could result in a significant change in the fair value of stock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assumptions were used to calculate the fair value of stock options granted to employees:</w:t>
      </w:r>
    </w:p>
    <w:p>
      <w:pPr>
        <w:spacing w:after="0" w:line="259" w:lineRule="exact"/>
        <w:rPr>
          <w:sz w:val="20"/>
          <w:szCs w:val="20"/>
          <w:color w:val="auto"/>
        </w:rPr>
      </w:pPr>
    </w:p>
    <w:p>
      <w:pPr>
        <w:ind w:left="92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22225</wp:posOffset>
            </wp:positionV>
            <wp:extent cx="20916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94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- 55.0%</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- 54.0%</w:t>
            </w:r>
          </w:p>
        </w:tc>
      </w:tr>
      <w:tr>
        <w:trPr>
          <w:trHeight w:val="25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- 6.11</w:t>
            </w:r>
          </w:p>
        </w:tc>
      </w:tr>
      <w:tr>
        <w:trPr>
          <w:trHeight w:val="263"/>
        </w:trPr>
        <w:tc>
          <w:tcPr>
            <w:tcW w:w="7940" w:type="dxa"/>
            <w:vAlign w:val="bottom"/>
            <w:shd w:val="clear" w:color="auto" w:fill="CCEEFF"/>
          </w:tcPr>
          <w:p>
            <w:pPr>
              <w:ind w:left="20"/>
              <w:spacing w:after="0" w:line="207" w:lineRule="exact"/>
              <w:rPr>
                <w:sz w:val="20"/>
                <w:szCs w:val="20"/>
                <w:color w:val="auto"/>
              </w:rPr>
            </w:pPr>
            <w:r>
              <w:rPr>
                <w:rFonts w:ascii="Times New Roman" w:cs="Times New Roman" w:eastAsia="Times New Roman" w:hAnsi="Times New Roman"/>
                <w:sz w:val="18"/>
                <w:szCs w:val="18"/>
                <w:color w:val="auto"/>
              </w:rPr>
              <w:t>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- 4.8%</w:t>
            </w:r>
          </w:p>
        </w:tc>
      </w:tr>
      <w:tr>
        <w:trPr>
          <w:trHeight w:val="24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3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outstanding stock-based awards as of December 31, 2024 are subject to service-based or performance-based vesting. We recognize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 Forfeitures and cancellations of awards are recognized as they occur. For the years ended December 31, 2024 and 2023, stock-based compensation expense was $128.1 million and $122.6 million, respectively. As of December 31, 2024, we had $118.3 million and $99.5 million of unrecognized compensation costs related to unvested options and restricted stock units, respectively, which are expected to be expensed and vest over a weighted-average remaining period of approximately 2.0 years and 2.6 years, respectively.</w:t>
      </w:r>
    </w:p>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account for income taxes in accordance with FASB ASC Topic 740, Income Taxes, or “ASC 740”. Deferred income taxes are recorded for the expected tax consequences of temporary differences between the tax basis of assets and liabilities for financial reporting purposes and amounts recognized for income tax purposes. We periodically review the recoverability of deferred tax assets recorded on the consolidated balance sheet and provide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81"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of each reporting date, management considers new evidence, both positive and negative, that could affect its view of the future realization of deferred tax assets. Significant judgment is required in determining any valuation allowance recorded against deferred tax assets. In assessing the need for a valuation allowance, we consider all available evidence for each jurisdiction including past operating results, estimates of future taxable income and the feasibility of ongoing tax planning strategies. In the event we change our determination as to the amount of deferred tax assets that can be realized, we will adjust our valuation allowance with a corresponding impact to income tax expense in the period in which such determination is made. We believe there is sufficient positive evidence to conclude that it is more likely than not that substantially all the net deferred tax assets were realizable as of December 31, 2024.</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2024 and 2023, we had $84.9 million and $73.1 million of net deferred tax assets, respectively. There was a valuation allowance of $1.8 million and $0.5 million as of December 31, 2024 and 2023, respectively.</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At December 31, 2024, we had cash and cash equivalents of $162.3 million and marketable securities of $65.6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Inflation Rate Risk</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112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7"/>
        </w:trPr>
        <w:tc>
          <w:tcPr>
            <w:tcW w:w="2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80" w:type="dxa"/>
            <w:vAlign w:val="bottom"/>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r>
      <w:tr>
        <w:trPr>
          <w:trHeight w:val="453"/>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24"/>
                <w:szCs w:val="24"/>
                <w:color w:val="auto"/>
              </w:rPr>
            </w:pPr>
          </w:p>
        </w:tc>
      </w:tr>
      <w:tr>
        <w:trPr>
          <w:trHeight w:val="304"/>
        </w:trPr>
        <w:tc>
          <w:tcPr>
            <w:tcW w:w="42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58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43"/>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Consolidated Balance Sheets</w:t>
            </w:r>
          </w:p>
        </w:tc>
        <w:tc>
          <w:tcPr>
            <w:tcW w:w="7980" w:type="dxa"/>
            <w:vAlign w:val="bottom"/>
            <w:gridSpan w:val="7"/>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65</w:t>
            </w:r>
          </w:p>
        </w:tc>
        <w:tc>
          <w:tcPr>
            <w:tcW w:w="20" w:type="dxa"/>
            <w:vAlign w:val="bottom"/>
          </w:tcPr>
          <w:p>
            <w:pPr>
              <w:spacing w:after="0"/>
              <w:rPr>
                <w:sz w:val="21"/>
                <w:szCs w:val="21"/>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7260" w:type="dxa"/>
            <w:vAlign w:val="bottom"/>
            <w:gridSpan w:val="6"/>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3"/>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Comprehensive Income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100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68</w:t>
            </w:r>
          </w:p>
        </w:tc>
        <w:tc>
          <w:tcPr>
            <w:tcW w:w="20" w:type="dxa"/>
            <w:vAlign w:val="bottom"/>
          </w:tcPr>
          <w:p>
            <w:pPr>
              <w:spacing w:after="0"/>
              <w:rPr>
                <w:sz w:val="22"/>
                <w:szCs w:val="22"/>
                <w:color w:val="auto"/>
              </w:rPr>
            </w:pPr>
          </w:p>
        </w:tc>
      </w:tr>
      <w:tr>
        <w:trPr>
          <w:trHeight w:val="263"/>
        </w:trPr>
        <w:tc>
          <w:tcPr>
            <w:tcW w:w="2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w:t>
            </w:r>
          </w:p>
        </w:tc>
        <w:tc>
          <w:tcPr>
            <w:tcW w:w="1520" w:type="dxa"/>
            <w:vAlign w:val="bottom"/>
            <w:tcBorders>
              <w:top w:val="single" w:sz="8" w:color="0000FF"/>
            </w:tcBorders>
            <w:gridSpan w:val="4"/>
          </w:tcPr>
          <w:p>
            <w:pPr>
              <w:spacing w:after="0"/>
              <w:rPr>
                <w:sz w:val="22"/>
                <w:szCs w:val="22"/>
                <w:color w:val="auto"/>
              </w:rPr>
            </w:pPr>
          </w:p>
        </w:tc>
        <w:tc>
          <w:tcPr>
            <w:tcW w:w="5680" w:type="dxa"/>
            <w:vAlign w:val="bottom"/>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69</w:t>
            </w:r>
          </w:p>
        </w:tc>
        <w:tc>
          <w:tcPr>
            <w:tcW w:w="20" w:type="dxa"/>
            <w:vAlign w:val="bottom"/>
          </w:tcPr>
          <w:p>
            <w:pPr>
              <w:spacing w:after="0"/>
              <w:rPr>
                <w:sz w:val="22"/>
                <w:szCs w:val="22"/>
                <w:color w:val="auto"/>
              </w:rPr>
            </w:pPr>
          </w:p>
        </w:tc>
      </w:tr>
      <w:tr>
        <w:trPr>
          <w:trHeight w:val="20"/>
        </w:trPr>
        <w:tc>
          <w:tcPr>
            <w:tcW w:w="288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9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4"/>
        </w:trPr>
        <w:tc>
          <w:tcPr>
            <w:tcW w:w="31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920" w:type="dxa"/>
            <w:vAlign w:val="bottom"/>
            <w:gridSpan w:val="4"/>
          </w:tcPr>
          <w:p>
            <w:pPr>
              <w:spacing w:after="0"/>
              <w:rPr>
                <w:sz w:val="22"/>
                <w:szCs w:val="22"/>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70</w:t>
            </w:r>
          </w:p>
        </w:tc>
        <w:tc>
          <w:tcPr>
            <w:tcW w:w="20" w:type="dxa"/>
            <w:vAlign w:val="bottom"/>
          </w:tcPr>
          <w:p>
            <w:pPr>
              <w:spacing w:after="0"/>
              <w:rPr>
                <w:sz w:val="22"/>
                <w:szCs w:val="22"/>
                <w:color w:val="auto"/>
              </w:rPr>
            </w:pPr>
          </w:p>
        </w:tc>
      </w:tr>
      <w:tr>
        <w:trPr>
          <w:trHeight w:val="20"/>
        </w:trPr>
        <w:tc>
          <w:tcPr>
            <w:tcW w:w="2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Progyny, Inc. (the Company) as of December 31, 2024 and 2023, the related consolidated statements of operations, comprehensive income, changes in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8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3, 2025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19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right"/>
        <w:ind w:right="5200"/>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Description of the Matter</w:t>
      </w:r>
    </w:p>
    <w:p>
      <w:pPr>
        <w:sectPr>
          <w:pgSz w:w="11900" w:h="16838" w:orient="portrait"/>
          <w:cols w:equalWidth="0" w:num="1">
            <w:col w:w="11120"/>
          </w:cols>
          <w:pgMar w:left="320" w:top="337"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As of December 31, 2024, accrued receivables and accrued claims payable were $45.6 million and $32.1 million, respectively. As discussed in Note 2 to the consolidated financial statements, the Company estimates accrued receivables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for those fertility benefit services provided but for which a claim has not been received from the provider clinic based on historical claims experience. The estimated cost of the related services and accrued claims payable are determined based upon the amount to be paid to the provider clinic and expected gross margin on each related fertility benefit service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estimated to have been provided.</w:t>
      </w:r>
    </w:p>
    <w:p>
      <w:pPr>
        <w:spacing w:after="0" w:line="57"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Auditing the Company’s estimates of accrued receivables and the related accrued claims payable was complex and required significant judgment as the estimates were sensitive to changes in the significant assumptions, including management’s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assumptions regarding the lag between authorization date and service date, service changes and cancellations.</w:t>
      </w:r>
    </w:p>
    <w:p>
      <w:pPr>
        <w:spacing w:after="0" w:line="57"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controls over the Company’s process to estimate accrued receivables and the associated claims payable. For example, we tested controls over</w:t>
      </w:r>
    </w:p>
    <w:p>
      <w:pPr>
        <w:jc w:val="both"/>
        <w:spacing w:after="0" w:line="226" w:lineRule="auto"/>
        <w:rPr>
          <w:sz w:val="20"/>
          <w:szCs w:val="20"/>
          <w:color w:val="auto"/>
        </w:rPr>
      </w:pPr>
      <w:r>
        <w:rPr>
          <w:rFonts w:ascii="Times New Roman" w:cs="Times New Roman" w:eastAsia="Times New Roman" w:hAnsi="Times New Roman"/>
          <w:sz w:val="18"/>
          <w:szCs w:val="18"/>
          <w:color w:val="auto"/>
        </w:rPr>
        <w:t>management’s review of the methodology, significant assumptions and the underlying data used to determine these estimates.</w:t>
      </w:r>
    </w:p>
    <w:p>
      <w:pPr>
        <w:spacing w:after="0" w:line="49"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To test the accrued receivables and the related claims payable, our audit procedures included, among others, assessing the methodology, evaluating the significant assumptions described above and testing the completeness and accuracy of the</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underlying data used in the Company’s analysis. For example, we tested the Company’s assumptions of the lag between the authorization date and service date, service changes and cancellations based on historical claims data, historical gross margin per service and tested the clerical accuracy of management’s analysis. Additionally, we evaluated the historical</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accuracy of management’s estimate by testing management’s retrospective review analysis that compared the prior period’s estimated accrued receivables and accrued claims payable to actual billing and claims data.</w:t>
      </w:r>
    </w:p>
    <w:p>
      <w:pPr>
        <w:spacing w:after="0" w:line="1200" w:lineRule="exact"/>
        <w:rPr>
          <w:sz w:val="20"/>
          <w:szCs w:val="20"/>
          <w:color w:val="auto"/>
        </w:rPr>
      </w:pPr>
    </w:p>
    <w:p>
      <w:pPr>
        <w:sectPr>
          <w:pgSz w:w="11900" w:h="16838" w:orient="portrait"/>
          <w:cols w:equalWidth="0" w:num="2">
            <w:col w:w="1680" w:space="520"/>
            <w:col w:w="8920"/>
          </w:cols>
          <w:pgMar w:left="320" w:top="337" w:right="459" w:bottom="1440" w:gutter="0" w:footer="0" w:header="0"/>
          <w:type w:val="continuous"/>
        </w:sectPr>
      </w:pP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8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97,296</w:t>
            </w:r>
          </w:p>
        </w:tc>
        <w:tc>
          <w:tcPr>
            <w:tcW w:w="0" w:type="dxa"/>
            <w:vAlign w:val="bottom"/>
          </w:tcPr>
          <w:p>
            <w:pPr>
              <w:spacing w:after="0"/>
              <w:rPr>
                <w:sz w:val="1"/>
                <w:szCs w:val="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273,791</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 of $56,355 and $46,636 of allowances at December 31, 2024 and 2023, respectively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235,324</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241,869</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27,451</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472,721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640,407</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11,880</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84,933</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73,120</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0" w:type="dxa"/>
            <w:vAlign w:val="bottom"/>
          </w:tcPr>
          <w:p>
            <w:pPr>
              <w:spacing w:after="0"/>
              <w:rPr>
                <w:sz w:val="1"/>
                <w:szCs w:val="1"/>
                <w:color w:val="auto"/>
              </w:rPr>
            </w:pP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607,102</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95,097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125,426</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73,530</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60,524</w:t>
            </w:r>
          </w:p>
        </w:tc>
        <w:tc>
          <w:tcPr>
            <w:tcW w:w="0" w:type="dxa"/>
            <w:vAlign w:val="bottom"/>
          </w:tcPr>
          <w:p>
            <w:pPr>
              <w:spacing w:after="0"/>
              <w:rPr>
                <w:sz w:val="1"/>
                <w:szCs w:val="1"/>
                <w:color w:val="auto"/>
              </w:rPr>
            </w:pPr>
          </w:p>
        </w:tc>
      </w:tr>
      <w:tr>
        <w:trPr>
          <w:trHeight w:val="256"/>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185,950</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17,241</w:t>
            </w: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185,040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203,191</w:t>
            </w:r>
          </w:p>
        </w:tc>
        <w:tc>
          <w:tcPr>
            <w:tcW w:w="0" w:type="dxa"/>
            <w:vAlign w:val="bottom"/>
          </w:tcPr>
          <w:p>
            <w:pPr>
              <w:spacing w:after="0"/>
              <w:rPr>
                <w:sz w:val="1"/>
                <w:szCs w:val="1"/>
                <w:color w:val="auto"/>
              </w:rPr>
            </w:pP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14)</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December 31, 2024 and 2023,</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160" w:type="dxa"/>
            <w:vAlign w:val="bottom"/>
          </w:tcPr>
          <w:p>
            <w:pPr>
              <w:ind w:left="140"/>
              <w:spacing w:after="0" w:line="184" w:lineRule="exact"/>
              <w:rPr>
                <w:sz w:val="20"/>
                <w:szCs w:val="20"/>
                <w:color w:val="auto"/>
              </w:rPr>
            </w:pPr>
            <w:r>
              <w:rPr>
                <w:rFonts w:ascii="Times New Roman" w:cs="Times New Roman" w:eastAsia="Times New Roman" w:hAnsi="Times New Roman"/>
                <w:sz w:val="18"/>
                <w:szCs w:val="18"/>
                <w:color w:val="auto"/>
              </w:rPr>
              <w:t>respectively; 97,692,891 and 96,348,522 shares issued; 85,310,698 and 96,348,522 outstanding at</w:t>
            </w:r>
          </w:p>
        </w:tc>
        <w:tc>
          <w:tcPr>
            <w:tcW w:w="36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December 31, 2024 and 2023, respectively</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581,596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461,639</w:t>
            </w:r>
          </w:p>
        </w:tc>
        <w:tc>
          <w:tcPr>
            <w:tcW w:w="0" w:type="dxa"/>
            <w:vAlign w:val="bottom"/>
          </w:tcPr>
          <w:p>
            <w:pPr>
              <w:spacing w:after="0"/>
              <w:rPr>
                <w:sz w:val="1"/>
                <w:szCs w:val="1"/>
                <w:color w:val="auto"/>
              </w:rPr>
            </w:pPr>
          </w:p>
        </w:tc>
      </w:tr>
      <w:tr>
        <w:trPr>
          <w:trHeight w:val="211"/>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$0.0001 par value; 12,998,173 and 615,980 shares at December 31, 2024 and 2023,</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respectively</w:t>
            </w:r>
          </w:p>
        </w:tc>
        <w:tc>
          <w:tcPr>
            <w:tcW w:w="3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(303,889)</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earnings</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144,307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89,971</w:t>
            </w: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422,062</w:t>
            </w:r>
          </w:p>
        </w:tc>
        <w:tc>
          <w:tcPr>
            <w:tcW w:w="12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553,429</w:t>
            </w:r>
          </w:p>
        </w:tc>
        <w:tc>
          <w:tcPr>
            <w:tcW w:w="0" w:type="dxa"/>
            <w:vAlign w:val="bottom"/>
          </w:tcPr>
          <w:p>
            <w:pPr>
              <w:spacing w:after="0"/>
              <w:rPr>
                <w:sz w:val="1"/>
                <w:szCs w:val="1"/>
                <w:color w:val="auto"/>
              </w:rPr>
            </w:pP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607,102</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756,620</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22225</wp:posOffset>
            </wp:positionV>
            <wp:extent cx="29660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23"/>
        </w:trPr>
        <w:tc>
          <w:tcPr>
            <w:tcW w:w="6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1,167,221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786,913</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913,858</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849,799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619,588</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253,363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238,799</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0" w:type="dxa"/>
            <w:vAlign w:val="bottom"/>
          </w:tcPr>
          <w:p>
            <w:pPr>
              <w:spacing w:after="0"/>
              <w:rPr>
                <w:sz w:val="1"/>
                <w:szCs w:val="1"/>
                <w:color w:val="auto"/>
              </w:rPr>
            </w:pPr>
          </w:p>
        </w:tc>
      </w:tr>
      <w:tr>
        <w:trPr>
          <w:trHeight w:val="25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98,327</w:t>
            </w:r>
          </w:p>
        </w:tc>
        <w:tc>
          <w:tcPr>
            <w:tcW w:w="0" w:type="dxa"/>
            <w:vAlign w:val="bottom"/>
          </w:tcPr>
          <w:p>
            <w:pPr>
              <w:spacing w:after="0"/>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185,908</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176,615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143,984</w:t>
            </w:r>
          </w:p>
        </w:tc>
        <w:tc>
          <w:tcPr>
            <w:tcW w:w="0" w:type="dxa"/>
            <w:vAlign w:val="bottom"/>
          </w:tcPr>
          <w:p>
            <w:pPr>
              <w:spacing w:after="0"/>
              <w:rPr>
                <w:sz w:val="1"/>
                <w:szCs w:val="1"/>
                <w:color w:val="auto"/>
              </w:rPr>
            </w:pPr>
          </w:p>
        </w:tc>
      </w:tr>
      <w:tr>
        <w:trPr>
          <w:trHeight w:val="25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23,341</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0" w:type="dxa"/>
            <w:vAlign w:val="bottom"/>
          </w:tcPr>
          <w:p>
            <w:pPr>
              <w:spacing w:after="0"/>
              <w:rPr>
                <w:sz w:val="1"/>
                <w:szCs w:val="1"/>
                <w:color w:val="auto"/>
              </w:rPr>
            </w:pPr>
          </w:p>
        </w:tc>
      </w:tr>
      <w:tr>
        <w:trPr>
          <w:trHeight w:val="250"/>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70,691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24,441</w:t>
            </w: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c>
          <w:tcPr>
            <w:tcW w:w="0" w:type="dxa"/>
            <w:vAlign w:val="bottom"/>
          </w:tcPr>
          <w:p>
            <w:pPr>
              <w:spacing w:after="0"/>
              <w:rPr>
                <w:sz w:val="1"/>
                <w:szCs w:val="1"/>
                <w:color w:val="auto"/>
              </w:rPr>
            </w:pPr>
          </w:p>
        </w:tc>
      </w:tr>
      <w:tr>
        <w:trPr>
          <w:trHeight w:val="257"/>
        </w:trPr>
        <w:tc>
          <w:tcPr>
            <w:tcW w:w="6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30,358</w:t>
            </w:r>
          </w:p>
        </w:tc>
        <w:tc>
          <w:tcPr>
            <w:tcW w:w="0" w:type="dxa"/>
            <w:vAlign w:val="bottom"/>
          </w:tcPr>
          <w:p>
            <w:pPr>
              <w:spacing w:after="0"/>
              <w:rPr>
                <w:sz w:val="1"/>
                <w:szCs w:val="1"/>
                <w:color w:val="auto"/>
              </w:rPr>
            </w:pPr>
          </w:p>
        </w:tc>
      </w:tr>
      <w:tr>
        <w:trPr>
          <w:trHeight w:val="20"/>
        </w:trPr>
        <w:tc>
          <w:tcPr>
            <w:tcW w:w="6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0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0" w:type="dxa"/>
            <w:vAlign w:val="bottom"/>
          </w:tcPr>
          <w:p>
            <w:pPr>
              <w:spacing w:after="0"/>
              <w:rPr>
                <w:sz w:val="1"/>
                <w:szCs w:val="1"/>
                <w:color w:val="auto"/>
              </w:rPr>
            </w:pPr>
          </w:p>
        </w:tc>
      </w:tr>
      <w:tr>
        <w:trPr>
          <w:trHeight w:val="288"/>
        </w:trPr>
        <w:tc>
          <w:tcPr>
            <w:tcW w:w="65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5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91,481,995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95,021,175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92,195,068</w:t>
            </w:r>
          </w:p>
        </w:tc>
        <w:tc>
          <w:tcPr>
            <w:tcW w:w="0" w:type="dxa"/>
            <w:vAlign w:val="bottom"/>
          </w:tcPr>
          <w:p>
            <w:pPr>
              <w:spacing w:after="0"/>
              <w:rPr>
                <w:sz w:val="1"/>
                <w:szCs w:val="1"/>
                <w:color w:val="auto"/>
              </w:rPr>
            </w:pPr>
          </w:p>
        </w:tc>
      </w:tr>
      <w:tr>
        <w:trPr>
          <w:trHeight w:val="250"/>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95,448,357</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100,672,399</w:t>
            </w:r>
          </w:p>
        </w:tc>
        <w:tc>
          <w:tcPr>
            <w:tcW w:w="10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99,957,173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6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gain on marketable securities before reclassifications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50"/>
        </w:trPr>
        <w:tc>
          <w:tcPr>
            <w:tcW w:w="6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 net income</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56"/>
        </w:trPr>
        <w:tc>
          <w:tcPr>
            <w:tcW w:w="6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change on unrealized gains on marketable securities</w:t>
            </w:r>
          </w:p>
        </w:tc>
        <w:tc>
          <w:tcPr>
            <w:tcW w:w="92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w:t>
            </w:r>
          </w:p>
        </w:tc>
      </w:tr>
      <w:tr>
        <w:trPr>
          <w:trHeight w:val="250"/>
        </w:trPr>
        <w:tc>
          <w:tcPr>
            <w:tcW w:w="65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gain (loss)</w:t>
            </w:r>
          </w:p>
        </w:tc>
        <w:tc>
          <w:tcPr>
            <w:tcW w:w="9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9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5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92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51,556</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64,355</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30,952</w:t>
            </w:r>
          </w:p>
        </w:tc>
      </w:tr>
      <w:tr>
        <w:trPr>
          <w:trHeight w:val="21"/>
        </w:trPr>
        <w:tc>
          <w:tcPr>
            <w:tcW w:w="65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tcPr>
          <w:p>
            <w:pPr>
              <w:spacing w:after="0"/>
              <w:rPr>
                <w:sz w:val="12"/>
                <w:szCs w:val="12"/>
                <w:color w:val="auto"/>
              </w:rPr>
            </w:pPr>
          </w:p>
        </w:tc>
        <w:tc>
          <w:tcPr>
            <w:tcW w:w="1860" w:type="dxa"/>
            <w:vAlign w:val="bottom"/>
            <w:gridSpan w:val="3"/>
            <w:vMerge w:val="restart"/>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3400" w:type="dxa"/>
            <w:vAlign w:val="bottom"/>
          </w:tcPr>
          <w:p>
            <w:pPr>
              <w:spacing w:after="0"/>
              <w:rPr>
                <w:sz w:val="7"/>
                <w:szCs w:val="7"/>
                <w:color w:val="auto"/>
              </w:rPr>
            </w:pPr>
          </w:p>
        </w:tc>
        <w:tc>
          <w:tcPr>
            <w:tcW w:w="18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gridSpan w:val="3"/>
            <w:vMerge w:val="restart"/>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Additional Paid</w:t>
            </w:r>
          </w:p>
        </w:tc>
        <w:tc>
          <w:tcPr>
            <w:tcW w:w="120" w:type="dxa"/>
            <w:vAlign w:val="bottom"/>
          </w:tcPr>
          <w:p>
            <w:pPr>
              <w:spacing w:after="0"/>
              <w:rPr>
                <w:sz w:val="7"/>
                <w:szCs w:val="7"/>
                <w:color w:val="auto"/>
              </w:rPr>
            </w:pPr>
          </w:p>
        </w:tc>
        <w:tc>
          <w:tcPr>
            <w:tcW w:w="1020" w:type="dxa"/>
            <w:vAlign w:val="bottom"/>
            <w:gridSpan w:val="2"/>
            <w:vMerge w:val="restart"/>
          </w:tcPr>
          <w:p>
            <w:pPr>
              <w:jc w:val="center"/>
              <w:ind w:right="240"/>
              <w:spacing w:after="0" w:line="109" w:lineRule="exact"/>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7"/>
                <w:szCs w:val="7"/>
                <w:color w:val="auto"/>
              </w:rPr>
            </w:pPr>
          </w:p>
        </w:tc>
        <w:tc>
          <w:tcPr>
            <w:tcW w:w="1180" w:type="dxa"/>
            <w:vAlign w:val="bottom"/>
            <w:gridSpan w:val="2"/>
            <w:vMerge w:val="restart"/>
          </w:tcPr>
          <w:p>
            <w:pPr>
              <w:jc w:val="center"/>
              <w:ind w:right="260"/>
              <w:spacing w:after="0" w:line="109"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22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40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in Capital</w:t>
            </w:r>
          </w:p>
        </w:tc>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Earnings (Deficit)</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220" w:type="dxa"/>
            <w:vAlign w:val="bottom"/>
          </w:tcPr>
          <w:p>
            <w:pPr>
              <w:spacing w:after="0"/>
              <w:rPr>
                <w:sz w:val="16"/>
                <w:szCs w:val="16"/>
                <w:color w:val="auto"/>
              </w:rPr>
            </w:pPr>
          </w:p>
        </w:tc>
        <w:tc>
          <w:tcPr>
            <w:tcW w:w="78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3"/>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2021</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91,088,781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CCEEFF"/>
            </w:tcBorders>
            <w:shd w:val="clear" w:color="auto" w:fill="CCEEFF"/>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255,339</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(2,424)</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251,822</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2,212,375</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(7,327)</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101,521</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101,521</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594</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30,358</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30,358</w:t>
            </w:r>
          </w:p>
        </w:tc>
        <w:tc>
          <w:tcPr>
            <w:tcW w:w="0" w:type="dxa"/>
            <w:vAlign w:val="bottom"/>
          </w:tcPr>
          <w:p>
            <w:pPr>
              <w:spacing w:after="0"/>
              <w:rPr>
                <w:sz w:val="1"/>
                <w:szCs w:val="1"/>
                <w:color w:val="auto"/>
              </w:rPr>
            </w:pPr>
          </w:p>
        </w:tc>
      </w:tr>
      <w:tr>
        <w:trPr>
          <w:trHeight w:val="167"/>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2022</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93,301,156</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349,533</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27,934</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501</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376,968</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2,799,694</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(11,102)</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123,208</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Warrant exercise</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247,672</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Other comprehensive income, net of tax</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2,318</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62,037</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62,037</w:t>
            </w:r>
          </w:p>
        </w:tc>
        <w:tc>
          <w:tcPr>
            <w:tcW w:w="0" w:type="dxa"/>
            <w:vAlign w:val="bottom"/>
          </w:tcPr>
          <w:p>
            <w:pPr>
              <w:spacing w:after="0"/>
              <w:rPr>
                <w:sz w:val="1"/>
                <w:szCs w:val="1"/>
                <w:color w:val="auto"/>
              </w:rPr>
            </w:pPr>
          </w:p>
        </w:tc>
      </w:tr>
      <w:tr>
        <w:trPr>
          <w:trHeight w:val="167"/>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96,348,522</w:t>
            </w:r>
          </w:p>
        </w:tc>
        <w:tc>
          <w:tcPr>
            <w:tcW w:w="120" w:type="dxa"/>
            <w:vAlign w:val="bottom"/>
          </w:tcPr>
          <w:p>
            <w:pPr>
              <w:spacing w:after="0"/>
              <w:rPr>
                <w:sz w:val="14"/>
                <w:szCs w:val="14"/>
                <w:color w:val="auto"/>
              </w:rPr>
            </w:pPr>
          </w:p>
        </w:tc>
        <w:tc>
          <w:tcPr>
            <w:tcW w:w="74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2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(1,009)</w:t>
            </w:r>
          </w:p>
        </w:tc>
        <w:tc>
          <w:tcPr>
            <w:tcW w:w="100" w:type="dxa"/>
            <w:vAlign w:val="bottom"/>
          </w:tcPr>
          <w:p>
            <w:pPr>
              <w:spacing w:after="0"/>
              <w:rPr>
                <w:sz w:val="14"/>
                <w:szCs w:val="14"/>
                <w:color w:val="auto"/>
              </w:rPr>
            </w:pPr>
          </w:p>
        </w:tc>
        <w:tc>
          <w:tcPr>
            <w:tcW w:w="160" w:type="dxa"/>
            <w:vAlign w:val="bottom"/>
            <w:tcBorders>
              <w:top w:val="single" w:sz="8" w:color="auto"/>
            </w:tcBorders>
          </w:tcPr>
          <w:p>
            <w:pPr>
              <w:jc w:val="right"/>
              <w:ind w:right="18"/>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461,639</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89,971</w:t>
            </w:r>
          </w:p>
        </w:tc>
        <w:tc>
          <w:tcPr>
            <w:tcW w:w="12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2,819</w:t>
            </w:r>
          </w:p>
        </w:tc>
        <w:tc>
          <w:tcPr>
            <w:tcW w:w="100" w:type="dxa"/>
            <w:vAlign w:val="bottom"/>
          </w:tcPr>
          <w:p>
            <w:pPr>
              <w:spacing w:after="0"/>
              <w:rPr>
                <w:sz w:val="14"/>
                <w:szCs w:val="14"/>
                <w:color w:val="auto"/>
              </w:rPr>
            </w:pPr>
          </w:p>
        </w:tc>
        <w:tc>
          <w:tcPr>
            <w:tcW w:w="22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553,429</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Issuance of employee equity awards, net of shares withheld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1,064,502</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(9,587)</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(9,587)</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Stock-based compensation</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129,544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129,544</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Repurchase of common stock</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(12,382,193)</w:t>
            </w:r>
          </w:p>
        </w:tc>
        <w:tc>
          <w:tcPr>
            <w:tcW w:w="12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(302,880)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(302,880)</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Warrant exercise</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279,867</w:t>
            </w: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0" w:type="dxa"/>
            <w:vAlign w:val="bottom"/>
          </w:tcPr>
          <w:p>
            <w:pPr>
              <w:spacing w:after="0"/>
              <w:rPr>
                <w:sz w:val="1"/>
                <w:szCs w:val="1"/>
                <w:color w:val="auto"/>
              </w:rPr>
            </w:pPr>
          </w:p>
        </w:tc>
      </w:tr>
      <w:tr>
        <w:trPr>
          <w:trHeight w:val="29"/>
        </w:trPr>
        <w:tc>
          <w:tcPr>
            <w:tcW w:w="3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3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Other comprehensive loss, net of tax</w:t>
            </w:r>
          </w:p>
        </w:tc>
        <w:tc>
          <w:tcPr>
            <w:tcW w:w="11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(2,780)</w:t>
            </w:r>
          </w:p>
        </w:tc>
        <w:tc>
          <w:tcPr>
            <w:tcW w:w="0" w:type="dxa"/>
            <w:vAlign w:val="bottom"/>
          </w:tcPr>
          <w:p>
            <w:pPr>
              <w:spacing w:after="0"/>
              <w:rPr>
                <w:sz w:val="1"/>
                <w:szCs w:val="1"/>
                <w:color w:val="auto"/>
              </w:rPr>
            </w:pPr>
          </w:p>
        </w:tc>
      </w:tr>
      <w:tr>
        <w:trPr>
          <w:trHeight w:val="173"/>
        </w:trPr>
        <w:tc>
          <w:tcPr>
            <w:tcW w:w="34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income</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5"/>
                <w:szCs w:val="15"/>
                <w:color w:val="auto"/>
              </w:rPr>
            </w:pP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54,336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54,336</w:t>
            </w:r>
          </w:p>
        </w:tc>
        <w:tc>
          <w:tcPr>
            <w:tcW w:w="0" w:type="dxa"/>
            <w:vAlign w:val="bottom"/>
          </w:tcPr>
          <w:p>
            <w:pPr>
              <w:spacing w:after="0"/>
              <w:rPr>
                <w:sz w:val="1"/>
                <w:szCs w:val="1"/>
                <w:color w:val="auto"/>
              </w:rPr>
            </w:pPr>
          </w:p>
        </w:tc>
      </w:tr>
      <w:tr>
        <w:trPr>
          <w:trHeight w:val="30"/>
        </w:trPr>
        <w:tc>
          <w:tcPr>
            <w:tcW w:w="34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34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Balances at December 31, 2024</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85,310,698</w:t>
            </w: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(303,889)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581,596</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144,307</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422,062</w:t>
            </w:r>
          </w:p>
        </w:tc>
        <w:tc>
          <w:tcPr>
            <w:tcW w:w="0" w:type="dxa"/>
            <w:vAlign w:val="bottom"/>
          </w:tcPr>
          <w:p>
            <w:pPr>
              <w:spacing w:after="0"/>
              <w:rPr>
                <w:sz w:val="1"/>
                <w:szCs w:val="1"/>
                <w:color w:val="auto"/>
              </w:rPr>
            </w:pPr>
          </w:p>
        </w:tc>
      </w:tr>
      <w:tr>
        <w:trPr>
          <w:trHeight w:val="22"/>
        </w:trPr>
        <w:tc>
          <w:tcPr>
            <w:tcW w:w="34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01"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8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22225</wp:posOffset>
            </wp:positionV>
            <wp:extent cx="25031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54,336</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62,037</w:t>
            </w:r>
          </w:p>
        </w:tc>
        <w:tc>
          <w:tcPr>
            <w:tcW w:w="120" w:type="dxa"/>
            <w:vAlign w:val="bottom"/>
          </w:tcPr>
          <w:p>
            <w:pPr>
              <w:spacing w:after="0"/>
              <w:rPr>
                <w:sz w:val="16"/>
                <w:szCs w:val="16"/>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30,358</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Deferred tax (benefit)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Non-cash interest income</w:t>
            </w: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2,281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1,601</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128,130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122,611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100,748</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Bad debt expense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16,396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19,934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13,794</w:t>
            </w:r>
          </w:p>
        </w:tc>
      </w:tr>
      <w:tr>
        <w:trPr>
          <w:trHeight w:val="19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accretion of discounts on marketable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Foreign currency exchange rate loss</w:t>
            </w:r>
          </w:p>
        </w:tc>
        <w:tc>
          <w:tcPr>
            <w:tcW w:w="2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7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receivable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(119,304)</w:t>
            </w: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(22,930)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Accounts payable</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(30,268)</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16,235</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47,689</w:t>
            </w:r>
          </w:p>
        </w:tc>
      </w:tr>
      <w:tr>
        <w:trPr>
          <w:trHeight w:val="193"/>
        </w:trPr>
        <w:tc>
          <w:tcPr>
            <w:tcW w:w="73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13,147</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r>
      <w:tr>
        <w:trPr>
          <w:trHeight w:val="186"/>
        </w:trPr>
        <w:tc>
          <w:tcPr>
            <w:tcW w:w="7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179,105</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188,814</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80,395</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49"/>
        </w:trPr>
        <w:tc>
          <w:tcPr>
            <w:tcW w:w="73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net</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(3,644)</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(3,241)</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(170,339)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(429,694)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(163,334)</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 of marketable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376,840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232,813</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122,709</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3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73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Net cash provided (used in) by investing activities</w:t>
            </w: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195,792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(200,525)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(43,866)</w:t>
            </w:r>
          </w:p>
        </w:tc>
      </w:tr>
      <w:tr>
        <w:trPr>
          <w:trHeight w:val="149"/>
        </w:trPr>
        <w:tc>
          <w:tcPr>
            <w:tcW w:w="7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(300,278)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4,850</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3,073</w:t>
            </w:r>
          </w:p>
        </w:tc>
      </w:tr>
      <w:tr>
        <w:trPr>
          <w:trHeight w:val="19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(17,200)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(12,089)</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1,152</w:t>
            </w:r>
          </w:p>
        </w:tc>
      </w:tr>
      <w:tr>
        <w:trPr>
          <w:trHeight w:val="186"/>
        </w:trPr>
        <w:tc>
          <w:tcPr>
            <w:tcW w:w="73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(309,880)</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(11,072)</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(7,864)</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6"/>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65,018</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(22,782)</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28,665</w:t>
            </w: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120,078</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91,413</w:t>
            </w:r>
          </w:p>
        </w:tc>
      </w:tr>
      <w:tr>
        <w:trPr>
          <w:trHeight w:val="209"/>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end of year</w:t>
            </w: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162,314</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97,296</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120,078</w:t>
            </w:r>
          </w:p>
        </w:tc>
      </w:tr>
      <w:tr>
        <w:trPr>
          <w:trHeight w:val="20"/>
        </w:trPr>
        <w:tc>
          <w:tcPr>
            <w:tcW w:w="73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15"/>
        </w:trPr>
        <w:tc>
          <w:tcPr>
            <w:tcW w:w="73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6"/>
        </w:trPr>
        <w:tc>
          <w:tcPr>
            <w:tcW w:w="7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40,449</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6,181</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w:t>
            </w:r>
          </w:p>
        </w:tc>
      </w:tr>
      <w:tr>
        <w:trPr>
          <w:trHeight w:val="233"/>
        </w:trPr>
        <w:tc>
          <w:tcPr>
            <w:tcW w:w="7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
        </w:trPr>
        <w:tc>
          <w:tcPr>
            <w:tcW w:w="7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93"/>
        </w:trPr>
        <w:tc>
          <w:tcPr>
            <w:tcW w:w="7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w:t>
            </w:r>
          </w:p>
        </w:tc>
      </w:tr>
      <w:tr>
        <w:trPr>
          <w:trHeight w:val="24"/>
        </w:trPr>
        <w:tc>
          <w:tcPr>
            <w:tcW w:w="7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right="8400" w:firstLine="8"/>
        <w:spacing w:after="0" w:line="487" w:lineRule="auto"/>
        <w:tabs>
          <w:tab w:leader="none" w:pos="1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 Description of Business</w:t>
      </w:r>
    </w:p>
    <w:p>
      <w:pPr>
        <w:spacing w:after="0" w:line="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4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w:t>
      </w:r>
    </w:p>
    <w:p>
      <w:pPr>
        <w:spacing w:after="0" w:line="2" w:lineRule="exact"/>
        <w:rPr>
          <w:sz w:val="20"/>
          <w:szCs w:val="20"/>
          <w:color w:val="auto"/>
        </w:rPr>
      </w:pPr>
    </w:p>
    <w:p>
      <w:pPr>
        <w:jc w:val="both"/>
        <w:ind w:firstLine="8"/>
        <w:spacing w:after="0" w:line="246" w:lineRule="auto"/>
        <w:tabs>
          <w:tab w:leader="none" w:pos="26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Patient Care Advocates (“PCAs”) (collectively, the “care management services”).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Company enhanced its benefits solution offerings with the launch of its pharmacy benefits solution, Progyny Rx, effective January 1, 2018. Progyny Rx provides the Company's members with access to the medications needed during their fertility treatment.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Progyny Rx is only available as an add-on service to the fertility benefits solution.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those of the Company and its wholly owned subsidiaries. All intercompany balances and transactions have been eliminated in consolidation. The consolidated financial statements and accompanying notes were prepared in accordance with accounting principles generally accepted in United Sates (“U.S. GAAP”).</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 and Marketable Securities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 value. Unrealized gains and losses on marketable securities are excluded from earnings and reported as a component of other comprehensive income (loss).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0"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Identification of the contract, or contracts, with a client</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Identification of the performance obligations in the contract</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Determination of the transaction price</w:t>
      </w:r>
    </w:p>
    <w:p>
      <w:pPr>
        <w:spacing w:after="0" w:line="206"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19" w:lineRule="exact"/>
        <w:rPr>
          <w:rFonts w:ascii="Times New Roman" w:cs="Times New Roman" w:eastAsia="Times New Roman" w:hAnsi="Times New Roman"/>
          <w:sz w:val="22"/>
          <w:szCs w:val="22"/>
          <w:b w:val="1"/>
          <w:bCs w:val="1"/>
          <w:color w:val="auto"/>
        </w:rPr>
      </w:pPr>
    </w:p>
    <w:p>
      <w:pPr>
        <w:ind w:left="980" w:hanging="324"/>
        <w:spacing w:after="0"/>
        <w:tabs>
          <w:tab w:leader="none" w:pos="980" w:val="left"/>
        </w:tabs>
        <w:numPr>
          <w:ilvl w:val="0"/>
          <w:numId w:val="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20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benefits services provided. As a result, the fixed rate per Smart Cycle is included in the transaction price and recognized in the period in which the Smart Cycle is provided to the member. 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 the fertility benefits solution ratably over the contract term. Progyny’s estimates of service level agreement refunds, have not historically resulted in significant adjustments to the transaction price.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1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2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217"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21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December 31, 2024 and 2023.</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Receivables and Accrued Claims Payable</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7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2024 and 2023, accrued receivables were $45.6 million and $45.8 million, respectively. Accrued receivables are included within accounts receivable in the consolidated balance sheet.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$32.1 million and $30.3 million as of December 31, 2024 and 2023, respectively, are included within accrued expenses and other current liabilities in the consolidated balance sheet. Claims payable are generally paid within 30 days based on contractual terms.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 of December 31, 2024 and December 31, 2023, unbilled receivables, which represent claims received and approved but unbilled at the end of the reporting period, were $47.0 million and $45.1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and Allowance for Doubtful Accounts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An allowance for credit losses is applied at the time the asset is recognized. Expected credit losses are recorded as general and administrative expenses on the consolidated statements of operations. The following table provides a summary of the activity in this allowance (in thousands):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Years Ended December 31, 2024, 2023 and 2022</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58"/>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40" w:type="dxa"/>
            <w:vAlign w:val="bottom"/>
            <w:gridSpan w:val="2"/>
          </w:tcPr>
          <w:p>
            <w:pPr>
              <w:jc w:val="center"/>
              <w:ind w:right="420"/>
              <w:spacing w:after="0" w:line="158" w:lineRule="exact"/>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1640" w:type="dxa"/>
            <w:vAlign w:val="bottom"/>
            <w:gridSpan w:val="2"/>
          </w:tcPr>
          <w:p>
            <w:pPr>
              <w:jc w:val="center"/>
              <w:ind w:right="340"/>
              <w:spacing w:after="0" w:line="158" w:lineRule="exact"/>
              <w:rPr>
                <w:sz w:val="20"/>
                <w:szCs w:val="20"/>
                <w:color w:val="auto"/>
              </w:rPr>
            </w:pPr>
            <w:r>
              <w:rPr>
                <w:rFonts w:ascii="Times New Roman" w:cs="Times New Roman" w:eastAsia="Times New Roman" w:hAnsi="Times New Roman"/>
                <w:sz w:val="14"/>
                <w:szCs w:val="14"/>
                <w:b w:val="1"/>
                <w:bCs w:val="1"/>
                <w:color w:val="auto"/>
              </w:rPr>
              <w:t>Charged</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0" w:type="dxa"/>
            <w:vAlign w:val="bottom"/>
          </w:tcPr>
          <w:p>
            <w:pPr>
              <w:jc w:val="center"/>
              <w:ind w:right="279"/>
              <w:spacing w:after="0" w:line="158" w:lineRule="exact"/>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340" w:type="dxa"/>
            <w:vAlign w:val="bottom"/>
          </w:tcPr>
          <w:p>
            <w:pPr>
              <w:spacing w:after="0"/>
              <w:rPr>
                <w:sz w:val="17"/>
                <w:szCs w:val="17"/>
                <w:color w:val="auto"/>
              </w:rPr>
            </w:pPr>
          </w:p>
        </w:tc>
        <w:tc>
          <w:tcPr>
            <w:tcW w:w="15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360" w:type="dxa"/>
            <w:vAlign w:val="bottom"/>
          </w:tcPr>
          <w:p>
            <w:pPr>
              <w:spacing w:after="0"/>
              <w:rPr>
                <w:sz w:val="17"/>
                <w:szCs w:val="17"/>
                <w:color w:val="auto"/>
              </w:rPr>
            </w:pPr>
          </w:p>
        </w:tc>
        <w:tc>
          <w:tcPr>
            <w:tcW w:w="1400" w:type="dxa"/>
            <w:vAlign w:val="bottom"/>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16,396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56,355</w:t>
            </w:r>
          </w:p>
        </w:tc>
      </w:tr>
      <w:tr>
        <w:trPr>
          <w:trHeight w:val="270"/>
        </w:trPr>
        <w:tc>
          <w:tcPr>
            <w:tcW w:w="3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16"/>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spacing w:after="0"/>
              <w:rPr>
                <w:sz w:val="18"/>
                <w:szCs w:val="18"/>
                <w:color w:val="auto"/>
              </w:rPr>
            </w:pPr>
          </w:p>
        </w:tc>
      </w:tr>
      <w:tr>
        <w:trPr>
          <w:trHeight w:val="243"/>
        </w:trPr>
        <w:tc>
          <w:tcPr>
            <w:tcW w:w="37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46,636</w:t>
            </w:r>
          </w:p>
        </w:tc>
      </w:tr>
      <w:tr>
        <w:trPr>
          <w:trHeight w:val="277"/>
        </w:trPr>
        <w:tc>
          <w:tcPr>
            <w:tcW w:w="3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r>
      <w:tr>
        <w:trPr>
          <w:trHeight w:val="193"/>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23"/>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28,328</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Services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1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7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Off-Balance-Sheet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consists primarily of cash and cash equivalents, marketable securities, and accounts receivable.</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invests its cash and cash equivalents and marketable securities with highly rated financial institutions and management believes that the financial risks associated with its cash equivalents are minimal.</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Substantially all of the Company’s cash is maintained with two financial institutions with high credit standings. Such deposits may exceed federally insured limits.</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regularly reviews the outstanding accounts receivable balances and makes estimates of the lifetime expected credit losses based upon consideration of factors such as the age of the receivable balance, historical experience, current economic conditions, and reasonable and supportable forecasts of future economic conditions. In addition, the Company periodically evaluates the financial condition of its clients and other parties to manage credit risk related to accounts receivable. As of December 31, 2024 and 2023, one vendor accounted for 24% and 22%, respectively, of total receivables.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Property and equipment consist of computer equipment, machinery and equipment, furniture and fixtures, leasehold improvements, and capitalized software development costs. The assets are stated at cost less accumulated depreciation. Depreciation is calculated using the straight-line method based on estimated useful lives and in the case of leasehold improvements, the shorter of the useful life or the remaining term of the lease (see Note 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8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Goodwill is reviewed for impairment annually as of October 1st of each year or when an interim triggering event has occurred indicating potential impairment. Events or changes in circumstances which could trigger an impairment</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tests for goodwill impairment for each reporting unit, which is at the operating segment or one level below the operating segment. This analysis requires us to make a series of assumptions to (1) evaluate whether any impairment exists and (2) measure the amount of impairment. There was no impairment of goodwill or intangible assets for the years ended December 31, 2024, 2023, and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 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 Company recorded a $1.4 million loss on disposal of property and equipment for the year ended December 31, 2024. There were no other significant impairments recorded for the years ended December 31, 2024, 2023 and 2022.</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1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assets, accrued expenses and other current liabilities, and operating lease noncurrent liabilities on the consolidated balance sheets. The Company elects to account for each separate lease and non-lease component as a single lease component. As of December 31, 2024 and 2023, the Company has no financing lease arrangements.</w:t>
      </w:r>
    </w:p>
    <w:p>
      <w:pPr>
        <w:spacing w:after="0" w:line="191" w:lineRule="exact"/>
        <w:rPr>
          <w:sz w:val="20"/>
          <w:szCs w:val="20"/>
          <w:color w:val="auto"/>
        </w:rPr>
      </w:pPr>
    </w:p>
    <w:p>
      <w:pPr>
        <w:jc w:val="both"/>
        <w:ind w:firstLine="405"/>
        <w:spacing w:after="0" w:line="242" w:lineRule="auto"/>
        <w:rPr>
          <w:sz w:val="20"/>
          <w:szCs w:val="20"/>
          <w:color w:val="auto"/>
        </w:rPr>
      </w:pPr>
      <w:r>
        <w:rPr>
          <w:rFonts w:ascii="Times New Roman" w:cs="Times New Roman" w:eastAsia="Times New Roman" w:hAnsi="Times New Roman"/>
          <w:sz w:val="18"/>
          <w:szCs w:val="18"/>
          <w:color w:val="auto"/>
        </w:rPr>
        <w:t>In accordance with ASC 842, the Company records a right-of-use asset (“ROU”) and lease liability in connection with its operating leases. Operating lease ROU assets and operating lease liabilities are recognized based on the present value of the future minimum lease payments over the lease term at commencement date. To determine the present value of lease payments, the Company utilizes the rate implicit in the lease, if available. If the rate implicit in the lease is not readily determinable, the Company uses its secured incremental borrowing rate to determine the present value of the lease payments. The determination of the Company’s incremental borrowing rate requires judgment and is primarily based on publicly available information for companies within the same industry and with similar credit profiles. The rate is then adjusted for the lease term and other specific terms included in the Company’s lease arrangements. The incremental borrowing rate is subsequently reassessed upon a modification to the lease arrangement. The operating lease ROU asset also includes any lease payments made prior to commencement date and excludes lease incentives and initial direct costs incurred. ROU assets are subsequently assessed for impairment in accordance with the Company’s accounting policy for long-lived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awards in accordance with FASB ASC Topic 718, </w:t>
      </w:r>
      <w:r>
        <w:rPr>
          <w:rFonts w:ascii="Times New Roman" w:cs="Times New Roman" w:eastAsia="Times New Roman" w:hAnsi="Times New Roman"/>
          <w:sz w:val="18"/>
          <w:szCs w:val="18"/>
          <w:i w:val="1"/>
          <w:iCs w:val="1"/>
          <w:color w:val="auto"/>
        </w:rPr>
        <w:t>Compensation—Stock Compensation</w:t>
      </w:r>
      <w:r>
        <w:rPr>
          <w:rFonts w:ascii="Times New Roman" w:cs="Times New Roman" w:eastAsia="Times New Roman" w:hAnsi="Times New Roman"/>
          <w:sz w:val="18"/>
          <w:szCs w:val="18"/>
          <w:color w:val="auto"/>
        </w:rPr>
        <w:t xml:space="preserve"> (ASC 718). ASC 718 requires all stock-based payments, including restricted stock units and grants of stock options, to be recognized in the consolidated statements of operations based on their respective fair values. The fair value of the Company’s restricted stock units has been determined utilizing the closing market price of the Company’s common stock on the date of the grant, including those with performance-based vesting criteria.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fair value of the Company’s stock options and stock purchased under the employee stock purchase plan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the daily closing prices of a specified group of companies in Progyny’s industry for a period equal to the expected term of the option. Progyny selected companies with comparable characteristics to the Company, including enterprise value, risk profiles and position within the industry, that have historical stock price information sufficient to meet the expected term of the stock options. The expected term of the options granted represents the period of time that options granted are expected to be outstanding and is calculated using the simplified method, which is the mid-point between the vesting date and the end of the contractual term for each option. For non-employee service-based awards, the expected term is estimated based on the remaining contractual term of such awards. The risk-free interest rate is based on the yield of zero-coupon, U.S. Treasury securities for the period that is consistent with the expected term of the stock option. The Company has not paid, and does not anticipate paying, cash dividends on its shares of common stock; therefore, the expected dividend yield is zero.</w:t>
      </w:r>
    </w:p>
    <w:p>
      <w:pPr>
        <w:spacing w:after="0" w:line="20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Company’s stock-based awards are subject to service-based or performance-based vesting conditions. The Company recognizes compensation expense for service-based awards over the vesting period of the award on a straight-line basis. Compensation expense related to awards with performance-based vesting conditions is recognized over the requisite service period when achievement of the performance condition is considered probable.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 accounts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9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deferred tax provided is calculated using tax rates enacted at the balance sheet date. The impact of tax law changes is recognized in periods when the change is enacted.</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7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policy is to recognize interest and penalty expenses associated with uncertain tax positions, if any, as a component of income tax expense in the consolidated statements of operations and comprehensive income.</w:t>
      </w:r>
    </w:p>
    <w:p>
      <w:pPr>
        <w:spacing w:after="0" w:line="14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Global Intangible Low-Taxed Income (“GILTI”) is described as the excess of a U.S. Shareholder's total net foreign income over a deemed return on tangible assets. The Company's policy is to recognize GILTI taxes as a current period expense, as a component of income tax expense, in the consolidated statements of operations and comprehensive income.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 and Fair Value Measurements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212" w:lineRule="exact"/>
        <w:rPr>
          <w:sz w:val="20"/>
          <w:szCs w:val="20"/>
          <w:color w:val="auto"/>
        </w:rPr>
      </w:pPr>
    </w:p>
    <w:p>
      <w:pPr>
        <w:jc w:val="both"/>
        <w:ind w:left="1400" w:hanging="750"/>
        <w:spacing w:after="0" w:line="258" w:lineRule="auto"/>
        <w:rPr>
          <w:sz w:val="20"/>
          <w:szCs w:val="20"/>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9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of certain of the Company’s financial instruments, including cash equivalents, marketable securities, accounts receivable and accounts payable approximate fair value due to their short maturities.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shares issuable under the employee stock purchase program and common stock warrants using the treasury stock method. In periods when the Company has incurred a net loss, diluted net loss per share is the same as basic net loss per share because dilutive common shares are not assumed to have been issued if their effect is anti-dilutive.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In May 2021, the FASB issued ASU No. 2021-04, </w:t>
      </w:r>
      <w:r>
        <w:rPr>
          <w:rFonts w:ascii="Times New Roman" w:cs="Times New Roman" w:eastAsia="Times New Roman" w:hAnsi="Times New Roman"/>
          <w:sz w:val="18"/>
          <w:szCs w:val="18"/>
          <w:i w:val="1"/>
          <w:iCs w:val="1"/>
          <w:color w:val="auto"/>
        </w:rPr>
        <w:t>Earnings Per Share (Topic 260), Debt-Modifications and Extinguishments (Subtopic 470-50),</w:t>
      </w:r>
    </w:p>
    <w:p>
      <w:pPr>
        <w:spacing w:after="0" w:line="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Compensation- Stock Compensation (Topic 718), and Derivatives and Hedging-Contracts in Entity’s Own Equity (Subtopic 815- 40), </w:t>
      </w:r>
      <w:r>
        <w:rPr>
          <w:rFonts w:ascii="Times New Roman" w:cs="Times New Roman" w:eastAsia="Times New Roman" w:hAnsi="Times New Roman"/>
          <w:sz w:val="18"/>
          <w:szCs w:val="18"/>
          <w:color w:val="auto"/>
        </w:rPr>
        <w:t>which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guidance on modifications or exchanges of a freestanding equity-classified written call options that are not within the scope of another Topic, such as warrants. The Company adopted this standard as of January 1, 2022 on a prospective basis to modifications or exchanges occurring on or after this date. The adoption of this standard did not have a material impact on the Company's consolidated financial statements.</w:t>
      </w:r>
    </w:p>
    <w:p>
      <w:pPr>
        <w:spacing w:after="0" w:line="181"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The standard is intended to provide a better understanding of an entity's overall performance and business activities through improved disclosure about an entity's reportable segments, including more detailed information about reportable segment expenses. The Company adopted this standard in the annual period beginning January 1, 2024 and applied the disclosure requirements retrospectively to all prior periods presented in the financial statements. The adoption of this standard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Issued but Not Yet Adopted</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standard is intended to enhance the transparency and decision usefulness of income tax disclosures primarily through changes to the rate reconciliation and income taxes paid information. The new standard will be effective for the Company for the fiscal year beginning January 1, 2025. While the new standard does require further disaggregation of the income tax footnote, the Company currently does not expect the adoption of the new standard to have a material effect on its consolidated financial statements.</w:t>
      </w:r>
    </w:p>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provide enhanced transparency into the nature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requires more detailed information on specific</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expense categories (purchases 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5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Fertility benefit services revenue</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729,551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676,295</w:t>
            </w:r>
          </w:p>
        </w:tc>
        <w:tc>
          <w:tcPr>
            <w:tcW w:w="12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510,145</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Pharmacy benefit services revenue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437,670</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412,303</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276,768</w:t>
            </w:r>
          </w:p>
        </w:tc>
      </w:tr>
      <w:tr>
        <w:trPr>
          <w:trHeight w:val="257"/>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1,167,221</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786,913</w:t>
            </w:r>
          </w:p>
        </w:tc>
      </w:tr>
      <w:tr>
        <w:trPr>
          <w:trHeight w:val="21"/>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Major Clients</w:t>
      </w:r>
    </w:p>
    <w:p>
      <w:pPr>
        <w:spacing w:after="0" w:line="21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one client accounted for 12% of total revenue. For the year ended December 31, 2023, that same client accounted for 13% of total revenue. For the year ended December 31, 2022, two clients accounted for 16%, and 10%, or a combined 26% of total revenue. No other clients accounted for more than 10% of total revenue for the years ended December 31, 2024, 2023, and 2022.</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of Financial Instruments</w:t>
      </w:r>
    </w:p>
    <w:p>
      <w:pPr>
        <w:spacing w:after="0" w:line="21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As of December 31, 2024 and 2023, the Company had $167.7 million and $35.2 million, respectively, in financial assets held in money market accounts and $65.6 million and $273.8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 For the years ended December 31, 2024, 2023, and 2022, interest income on cash and cash equivalents and marketable securities, including the accretion of discounts on investments, was $12.4 million, $3.3 million, and $0.8 million,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and 2023, the Company had $10.0 million and $5.2 million, respectively of gross realized gains related to marketable securities included within earnings. There were no related gross realized losses included within earnings for these periods. The gross realized gains and losses included within earnings for the year ended December 31, 2022 were $0.4 million and $0.1 million, respectively.</w:t>
      </w:r>
    </w:p>
    <w:p>
      <w:pPr>
        <w:spacing w:after="0" w:line="16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reclassified $7.3 million, $3.8 million, and $0.3 million of net unrealized holding gains out of other comprehensive income and into earnings for the years ended December 31, 2024, 2023, and 2022, respectively. These amounts were reclassified into interest and other income, net in the consolidated statement of operations.</w:t>
      </w:r>
    </w:p>
    <w:p>
      <w:pPr>
        <w:spacing w:after="0" w:line="16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total net gains for marketable securities recorded into other comprehensive income, before reclassifications into earnings, for the years ended December 31, 2024, 2023, and 2022, was $4.5 million, $6.1 million, $0.9 million, respectively.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did not maintain any assets or liabilities classified as Level 2 or Level 3 in the fair value hierarchy.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Property and equipment consist of the following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60" w:type="dxa"/>
            <w:vAlign w:val="bottom"/>
          </w:tcPr>
          <w:p>
            <w:pPr>
              <w:spacing w:after="0"/>
              <w:rPr>
                <w:sz w:val="14"/>
                <w:szCs w:val="14"/>
                <w:color w:val="auto"/>
              </w:rPr>
            </w:pPr>
          </w:p>
        </w:tc>
        <w:tc>
          <w:tcPr>
            <w:tcW w:w="17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60" w:type="dxa"/>
            <w:vAlign w:val="bottom"/>
          </w:tcPr>
          <w:p>
            <w:pPr>
              <w:spacing w:after="0"/>
              <w:rPr>
                <w:sz w:val="10"/>
                <w:szCs w:val="10"/>
                <w:color w:val="auto"/>
              </w:rPr>
            </w:pPr>
          </w:p>
        </w:tc>
        <w:tc>
          <w:tcPr>
            <w:tcW w:w="1600" w:type="dxa"/>
            <w:vAlign w:val="bottom"/>
            <w:gridSpan w:val="2"/>
            <w:vMerge w:val="restart"/>
          </w:tcPr>
          <w:p>
            <w:pPr>
              <w:jc w:val="center"/>
              <w:ind w:right="12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6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600" w:type="dxa"/>
            <w:vAlign w:val="bottom"/>
            <w:gridSpan w:val="2"/>
            <w:vMerge w:val="continue"/>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5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Computers and hardware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63"/>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16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lease term</w:t>
            </w: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11,442</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5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w:t>
            </w:r>
          </w:p>
        </w:tc>
        <w:tc>
          <w:tcPr>
            <w:tcW w:w="0" w:type="dxa"/>
            <w:vAlign w:val="bottom"/>
          </w:tcPr>
          <w:p>
            <w:pPr>
              <w:spacing w:after="0"/>
              <w:rPr>
                <w:sz w:val="1"/>
                <w:szCs w:val="1"/>
                <w:color w:val="auto"/>
              </w:rPr>
            </w:pPr>
          </w:p>
        </w:tc>
      </w:tr>
      <w:tr>
        <w:trPr>
          <w:trHeight w:val="25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12,383</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approximately $3.1 million, $2.2 million and $1.1 million for the years ended December 31, 2024, 2023 and 2022, respectively.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the Company capitalized $1.4 million, $0.6 million, and $0.8 million, respectively, in stock-based compensation related to the development of internal-use software.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Intangible Assets, Net</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60" w:type="dxa"/>
            <w:vAlign w:val="bottom"/>
          </w:tcPr>
          <w:p>
            <w:pPr>
              <w:spacing w:after="0"/>
              <w:rPr>
                <w:sz w:val="14"/>
                <w:szCs w:val="14"/>
                <w:color w:val="auto"/>
              </w:rPr>
            </w:pPr>
          </w:p>
        </w:tc>
        <w:tc>
          <w:tcPr>
            <w:tcW w:w="12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20" w:type="dxa"/>
            <w:vAlign w:val="bottom"/>
            <w:gridSpan w:val="3"/>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6560" w:type="dxa"/>
            <w:vAlign w:val="bottom"/>
          </w:tcPr>
          <w:p>
            <w:pPr>
              <w:spacing w:after="0"/>
              <w:rPr>
                <w:sz w:val="10"/>
                <w:szCs w:val="10"/>
                <w:color w:val="auto"/>
              </w:rPr>
            </w:pPr>
          </w:p>
        </w:tc>
        <w:tc>
          <w:tcPr>
            <w:tcW w:w="1200" w:type="dxa"/>
            <w:vAlign w:val="bottom"/>
            <w:vMerge w:val="restart"/>
          </w:tcPr>
          <w:p>
            <w:pPr>
              <w:ind w:left="420"/>
              <w:spacing w:after="0" w:line="127" w:lineRule="exact"/>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6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656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55"/>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0" w:type="dxa"/>
            <w:vAlign w:val="bottom"/>
          </w:tcPr>
          <w:p>
            <w:pPr>
              <w:spacing w:after="0"/>
              <w:rPr>
                <w:sz w:val="1"/>
                <w:szCs w:val="1"/>
                <w:color w:val="auto"/>
              </w:rPr>
            </w:pPr>
          </w:p>
        </w:tc>
      </w:tr>
      <w:tr>
        <w:trPr>
          <w:trHeight w:val="25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Physician Network</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0" w:type="dxa"/>
            <w:vAlign w:val="bottom"/>
          </w:tcPr>
          <w:p>
            <w:pPr>
              <w:spacing w:after="0"/>
              <w:rPr>
                <w:sz w:val="1"/>
                <w:szCs w:val="1"/>
                <w:color w:val="auto"/>
              </w:rPr>
            </w:pPr>
          </w:p>
        </w:tc>
      </w:tr>
      <w:tr>
        <w:trPr>
          <w:trHeight w:val="26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Website</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50"/>
        </w:trPr>
        <w:tc>
          <w:tcPr>
            <w:tcW w:w="7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Databases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Customers</w:t>
            </w:r>
          </w:p>
        </w:tc>
        <w:tc>
          <w:tcPr>
            <w:tcW w:w="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gross</w:t>
            </w: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10,906</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50"/>
        </w:trPr>
        <w:tc>
          <w:tcPr>
            <w:tcW w:w="7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3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(9,603)</w:t>
            </w: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82"/>
        </w:trPr>
        <w:tc>
          <w:tcPr>
            <w:tcW w:w="7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Amortization expense was $0.1 million, $0.1 million, and $0.5 million for the years ended December 31, 2024, 2023 and 2022, respectively.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As of December 31, 2024, the future amortization expense of other intangible assets is as follows (in thousands):</w:t>
            </w:r>
          </w:p>
        </w:tc>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9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57"/>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8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r>
      <w:tr>
        <w:trPr>
          <w:trHeight w:val="25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6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0"/>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57"/>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56"/>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w:t>
            </w:r>
          </w:p>
        </w:tc>
      </w:tr>
      <w:tr>
        <w:trPr>
          <w:trHeight w:val="21"/>
        </w:trPr>
        <w:tc>
          <w:tcPr>
            <w:tcW w:w="9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September 2019, the Company’s sublease agreement for a 25,212 square foot office in its corporate headquarters in New York, NY commenced</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(entered into in February 2022) commenced in New York, NY and is expected to expire in the second quarter of 2036. In accordance with ASC 842, the Company recorded right-of-use assets and lease liabilities of $12.2 million and $12.1 million, respectively. Pursuant to the lease, the Company is obligated to pay the base rent of approximately $1.4 million per annum through the end of the fifth lease year and approximately $1.5 million per annum thereafter through the expiration date.</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Company’s operating leases was $2.7 million for the year ended December 31, 2024. For the years ended December 31, 2023 and 2022 lease expense for the Company's operating leases was $2.4 million and $1.3 million, respectively .</w:t>
      </w:r>
    </w:p>
    <w:p>
      <w:pPr>
        <w:spacing w:after="0" w:line="169" w:lineRule="exact"/>
        <w:rPr>
          <w:sz w:val="20"/>
          <w:szCs w:val="20"/>
          <w:color w:val="auto"/>
        </w:rPr>
      </w:pPr>
    </w:p>
    <w:p>
      <w:pPr>
        <w:jc w:val="both"/>
        <w:ind w:right="20" w:firstLine="648"/>
        <w:spacing w:after="0" w:line="313" w:lineRule="auto"/>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years ended December 31, 2024 was $2.3 million, For the years ended December 31, 2023, and 2022, cash outflows toward operating leases were $1.3 million, respectively.</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20" w:type="dxa"/>
            <w:vAlign w:val="bottom"/>
          </w:tcPr>
          <w:p>
            <w:pPr>
              <w:spacing w:after="0"/>
              <w:rPr>
                <w:sz w:val="16"/>
                <w:szCs w:val="16"/>
                <w:color w:val="auto"/>
              </w:rPr>
            </w:pPr>
          </w:p>
        </w:tc>
        <w:tc>
          <w:tcPr>
            <w:tcW w:w="3940" w:type="dxa"/>
            <w:vAlign w:val="bottom"/>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3220" w:type="dxa"/>
            <w:vAlign w:val="bottom"/>
            <w:tcBorders>
              <w:bottom w:val="single" w:sz="8" w:color="CCEEFF"/>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76"/>
        </w:trPr>
        <w:tc>
          <w:tcPr>
            <w:tcW w:w="3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34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860" w:type="dxa"/>
            <w:vAlign w:val="bottom"/>
            <w:tcBorders>
              <w:bottom w:val="single" w:sz="8" w:color="CCEEFF"/>
            </w:tcBorders>
            <w:shd w:val="clear" w:color="auto" w:fill="CCEEFF"/>
          </w:tcPr>
          <w:p>
            <w:pPr>
              <w:spacing w:after="0"/>
              <w:rPr>
                <w:sz w:val="15"/>
                <w:szCs w:val="15"/>
                <w:color w:val="auto"/>
              </w:rPr>
            </w:pP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17,251</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2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2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w:t>
            </w:r>
          </w:p>
        </w:tc>
      </w:tr>
      <w:tr>
        <w:trPr>
          <w:trHeight w:val="277"/>
        </w:trPr>
        <w:tc>
          <w:tcPr>
            <w:tcW w:w="3220" w:type="dxa"/>
            <w:vAlign w:val="bottom"/>
            <w:shd w:val="clear" w:color="auto" w:fill="CCEEFF"/>
          </w:tcPr>
          <w:p>
            <w:pPr>
              <w:spacing w:after="0"/>
              <w:rPr>
                <w:sz w:val="24"/>
                <w:szCs w:val="24"/>
                <w:color w:val="auto"/>
              </w:rPr>
            </w:pPr>
          </w:p>
        </w:tc>
        <w:tc>
          <w:tcPr>
            <w:tcW w:w="3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r>
      <w:tr>
        <w:trPr>
          <w:trHeight w:val="193"/>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3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60" w:type="dxa"/>
            <w:vAlign w:val="bottom"/>
          </w:tcPr>
          <w:p>
            <w:pPr>
              <w:spacing w:after="0"/>
              <w:rPr>
                <w:sz w:val="16"/>
                <w:szCs w:val="16"/>
                <w:color w:val="auto"/>
              </w:rPr>
            </w:pPr>
          </w:p>
        </w:tc>
      </w:tr>
      <w:tr>
        <w:trPr>
          <w:trHeight w:val="23"/>
        </w:trPr>
        <w:tc>
          <w:tcPr>
            <w:tcW w:w="66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7"/>
        </w:trPr>
        <w:tc>
          <w:tcPr>
            <w:tcW w:w="71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years</w:t>
            </w:r>
          </w:p>
        </w:tc>
      </w:tr>
      <w:tr>
        <w:trPr>
          <w:trHeight w:val="243"/>
        </w:trPr>
        <w:tc>
          <w:tcPr>
            <w:tcW w:w="71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r>
      <w:tr>
        <w:trPr>
          <w:trHeight w:val="540"/>
        </w:trPr>
        <w:tc>
          <w:tcPr>
            <w:tcW w:w="9380" w:type="dxa"/>
            <w:vAlign w:val="bottom"/>
            <w:gridSpan w:val="7"/>
          </w:tcPr>
          <w:p>
            <w:pPr>
              <w:ind w:left="660"/>
              <w:spacing w:after="0"/>
              <w:rPr>
                <w:sz w:val="20"/>
                <w:szCs w:val="20"/>
                <w:color w:val="auto"/>
              </w:rPr>
            </w:pPr>
            <w:r>
              <w:rPr>
                <w:rFonts w:ascii="Times New Roman" w:cs="Times New Roman" w:eastAsia="Times New Roman" w:hAnsi="Times New Roman"/>
                <w:sz w:val="18"/>
                <w:szCs w:val="18"/>
                <w:color w:val="auto"/>
              </w:rPr>
              <w:t>Future minimum facility lease payments as of December 31, 2024, are as follows (in thousands):</w:t>
            </w:r>
          </w:p>
        </w:tc>
        <w:tc>
          <w:tcPr>
            <w:tcW w:w="1860" w:type="dxa"/>
            <w:vAlign w:val="bottom"/>
          </w:tcPr>
          <w:p>
            <w:pPr>
              <w:spacing w:after="0"/>
              <w:rPr>
                <w:sz w:val="24"/>
                <w:szCs w:val="24"/>
                <w:color w:val="auto"/>
              </w:rPr>
            </w:pPr>
          </w:p>
        </w:tc>
      </w:tr>
      <w:tr>
        <w:trPr>
          <w:trHeight w:val="422"/>
        </w:trPr>
        <w:tc>
          <w:tcPr>
            <w:tcW w:w="3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8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Operating Lease Payments as of December 31, 2024</w:t>
            </w:r>
          </w:p>
        </w:tc>
      </w:tr>
      <w:tr>
        <w:trPr>
          <w:trHeight w:val="23"/>
        </w:trPr>
        <w:tc>
          <w:tcPr>
            <w:tcW w:w="3220" w:type="dxa"/>
            <w:vAlign w:val="bottom"/>
            <w:tcBorders>
              <w:bottom w:val="single" w:sz="8" w:color="auto"/>
            </w:tcBorders>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50"/>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50"/>
        </w:trPr>
        <w:tc>
          <w:tcPr>
            <w:tcW w:w="3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3,008</w:t>
            </w:r>
          </w:p>
        </w:tc>
      </w:tr>
      <w:tr>
        <w:trPr>
          <w:trHeight w:val="263"/>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w:t>
            </w:r>
          </w:p>
        </w:tc>
      </w:tr>
      <w:tr>
        <w:trPr>
          <w:trHeight w:val="25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9,414</w:t>
            </w:r>
          </w:p>
        </w:tc>
      </w:tr>
      <w:tr>
        <w:trPr>
          <w:trHeight w:val="257"/>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23,644</w:t>
            </w:r>
          </w:p>
        </w:tc>
      </w:tr>
      <w:tr>
        <w:trPr>
          <w:trHeight w:val="250"/>
        </w:trPr>
        <w:tc>
          <w:tcPr>
            <w:tcW w:w="3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4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4,372</w:t>
            </w:r>
          </w:p>
        </w:tc>
      </w:tr>
      <w:tr>
        <w:trPr>
          <w:trHeight w:val="25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19,272</w:t>
            </w:r>
          </w:p>
        </w:tc>
      </w:tr>
      <w:tr>
        <w:trPr>
          <w:trHeight w:val="250"/>
        </w:trPr>
        <w:tc>
          <w:tcPr>
            <w:tcW w:w="678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38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r>
      <w:tr>
        <w:trPr>
          <w:trHeight w:val="256"/>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9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16,413</w:t>
            </w: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14"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office in its corporate offices in New York, NY in February 2023, pursuant to a lease agreement entered into by the Company in February 2022. The lease</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agreement also provides for additional space in the Company's corporate offices, including an additional 21,262 square foot office and continued occupancy of the 25,212 square foot office after the expiration of the current sublease. For the 21,262 square foot office, the lease commencement date, which is when the premise will become available to the Company for use, is currently expected to be in the first quarter of 2025. The Company is obligated to pay the base rent of approximately $1.3 million starting in the second quarter of 2026 for five years and approximately $1.4 million per year thereafter through second quarter of 2036, the expected expiration date. For the current 25,212 square foot office, the Company is obligated to pay the base rent of approximately $1.6 million per year beginning in June 2029, which is the lease commencement, through second quarter of 2036, the expected expiration date.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 Current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0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claims payable</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32,121</w:t>
            </w: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30,294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14,572</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11,868</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commission</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3,284</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current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2,149</w:t>
            </w:r>
          </w:p>
        </w:tc>
      </w:tr>
      <w:tr>
        <w:trPr>
          <w:trHeight w:val="263"/>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10,504</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5,299</w:t>
            </w:r>
          </w:p>
        </w:tc>
        <w:tc>
          <w:tcPr>
            <w:tcW w:w="12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73,530</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60,524</w:t>
            </w:r>
          </w:p>
        </w:tc>
      </w:tr>
      <w:tr>
        <w:trPr>
          <w:trHeight w:val="21"/>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Acquisitions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June 17, 2024, the Company completed its acquisition of Apryl GmbH, a Berlin-based fertility benefits platform, to expand its global offering. The transaction was for a purchase price of €5.1 million, or $5.3 million, net of cash acquired, based on the exchange rate on the acquisition closing date, and was accounted for using the acquisition method. As a result, tangible and intangible assets acquired and liabilities assumed were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financial results of Benefit Bump will be included in the Company's consolidated financial statements beginning in the first quarter of fiscal year 2025.</w:t>
      </w:r>
    </w:p>
    <w:p>
      <w:pPr>
        <w:spacing w:after="0" w:line="179" w:lineRule="exact"/>
        <w:rPr>
          <w:sz w:val="20"/>
          <w:szCs w:val="20"/>
          <w:color w:val="auto"/>
        </w:rPr>
      </w:pPr>
    </w:p>
    <w:p>
      <w:pPr>
        <w:ind w:right="9340" w:firstLine="8"/>
        <w:spacing w:after="0" w:line="495" w:lineRule="auto"/>
        <w:tabs>
          <w:tab w:leader="none" w:pos="27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spacing w:after="0" w:line="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holders of common stock are entitled to one vote for each share held of record on all matters submitted to a vote of the stockholders. The common stock confers upon its holders the right to receive dividends out of any assets legally available, when and as declared by the Board of Directors.</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Company had 12,998,173 shares of treasury stock as of December 31, 2024. There were 615,980 shares of treasury stock shares for the years ended December 31, 2023 and 2022, respectively.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216"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In February 2024, the Company's Board of Directors authorized a share repurchase program of up to $100 million in shares of common stock (the “February Share Repurchase Program”). In May 2024, the Company's Board of Directors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authorized an additional share repurchase program of up to $100 million in shares of common stock (the “May Share Repurchase Program”). In August 2024, the Company's Board of Directors authorized an additional share repurchase program of up to $100 million in shares of common stock (the “August Share Repurchase Program,” and together with the February Share Repurchase Program and the May Share Repurchase Program, the "2024 Share Repurchase Programs").</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For the year ended December 31, 2024, the Company repurchased a total of 12,382,193 shares of common stock under the 2024 Share Repurchase Programs at an average price per share of $24.22 and a total cost of $300.3 million, inclusive of $0.4 million in trading fees. In addition, the Company recognized $2.6 million of excise taxes related to the share repurchases. As of the year ended December 31, 2024, the 2024 Share Repurchase Programs were completed, and no amounts remained available for repurchase under the programs.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w:t>
      </w:r>
    </w:p>
    <w:p>
      <w:pPr>
        <w:spacing w:after="0" w:line="21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IPO on October 25, 2019, all outstanding convertible preferred warrants were converted to common stock warrants. As of December 31, 2024, the Company had no outstanding common stock warrants. The Company had 305,595 common stock warrants outstanding as of December 31, 2023.</w:t>
      </w:r>
    </w:p>
    <w:p>
      <w:pPr>
        <w:spacing w:after="0" w:line="16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2024, 305,595 common stock warrants were exercised for 279,867 shares of common stock at a weighted-average exercise price of $1.73. For the year ended December 31, 2023, 259,756 common stock warrants were exercised for 247,672 shares of common stock at a weighted-average exercise price of $1.73. No common stock warrants were exercised during the year ended December 31, 2022. The Company did not recognize compensation expense relating to the common stock warrants for the years ended December 31, 2024, 2023 and 2022 as they were all fully vested.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October 2019, the Company’s Board of Directors and stockholders adopted and approved the 2019 Equity Incentive Plan, as amended (the “2019 Plan”), as the successor to the Company’s 2017 Equity Incentive Plan, as amended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remained available for the issuance of awards under the 2017 Plan immediately prior to the effective date of the 2019 Plan and (b) shares of common stock subject to outstanding stock options or other stock awards granted under the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200"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Under the Company’s 2017 Plan and consistent with the Company's prior 2008 Equity Incentive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4 years and expire 10 years from the date of grant. Stock option grants may be exercisable upon grant, and any unvested shares purchased are subject to repurchase. There were no unvested shares subject to repurchase as of December 31, 2024 and 2023.</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As of December 31, 2024 and 2023, 3,602,455 and 3,573,416 shares of common stock, respectively, remained available for future grants under the 2019 Plan. Under the 2019 Plan, subject to any adjustments necessary to implement any capitalization adjustments, an annual increase to the number of shares issuable is automatically added on January 1 of each year for a period of ten years commencing on January 1, 2020 and ending on (and including) January 1, 2029, in an amount equal to 4% of the total number of shares of common stock outstanding on December 31 of the preceding year or such smaller amount as determined by the Company's Board of Directors.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14"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Stock options are exercisable based on the terms and conditions outlined in the applicable award agreement. Stock options generally vest over four years and typically expire ten years from the date of grant. A summary of the Company’s stock option activity for the year ended December 31, 2024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176"/>
        </w:trPr>
        <w:tc>
          <w:tcPr>
            <w:tcW w:w="49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62"/>
        </w:trPr>
        <w:tc>
          <w:tcPr>
            <w:tcW w:w="4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20" w:type="dxa"/>
            <w:vAlign w:val="bottom"/>
          </w:tcPr>
          <w:p>
            <w:pPr>
              <w:spacing w:after="0"/>
              <w:rPr>
                <w:sz w:val="14"/>
                <w:szCs w:val="14"/>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190"/>
        </w:trPr>
        <w:tc>
          <w:tcPr>
            <w:tcW w:w="4980" w:type="dxa"/>
            <w:vAlign w:val="bottom"/>
          </w:tcPr>
          <w:p>
            <w:pPr>
              <w:spacing w:after="0"/>
              <w:rPr>
                <w:sz w:val="16"/>
                <w:szCs w:val="16"/>
                <w:color w:val="auto"/>
              </w:rPr>
            </w:pPr>
          </w:p>
        </w:tc>
        <w:tc>
          <w:tcPr>
            <w:tcW w:w="148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3"/>
        </w:trPr>
        <w:tc>
          <w:tcPr>
            <w:tcW w:w="49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6"/>
        </w:trPr>
        <w:tc>
          <w:tcPr>
            <w:tcW w:w="49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4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17,228,415</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158,773</w:t>
            </w: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2,493,293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63"/>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(530,256)</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0"/>
        </w:trPr>
        <w:tc>
          <w:tcPr>
            <w:tcW w:w="49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4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Cancelled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18,619,906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54,193</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9,379,508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152,166</w:t>
            </w:r>
          </w:p>
        </w:tc>
      </w:tr>
      <w:tr>
        <w:trPr>
          <w:trHeight w:val="20"/>
        </w:trPr>
        <w:tc>
          <w:tcPr>
            <w:tcW w:w="49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r>
      <w:tr>
        <w:trPr>
          <w:trHeight w:val="237"/>
        </w:trPr>
        <w:tc>
          <w:tcPr>
            <w:tcW w:w="49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57"/>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2024</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11,939,099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22"/>
                <w:szCs w:val="22"/>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53,294</w:t>
            </w:r>
          </w:p>
        </w:tc>
      </w:tr>
      <w:tr>
        <w:trPr>
          <w:trHeight w:val="20"/>
        </w:trPr>
        <w:tc>
          <w:tcPr>
            <w:tcW w:w="49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was $13.7 million, $79.7 million, and $76.7 million for the years ended December 31, 2024, 2023, and 2022,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$16.60, $19.10, and $21.84 in the years ended December 31, 2024, 2023, and 2022,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grant date fair value of options vested was $202.4 million, $134.1 million, and $62.6 million as of December 31, 2024, 2023, and 2022, respectively.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options was approximately $118.3 million at December 31, 2024. The weighted-average remaining recognition period is approximately 2.0 years.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Certain assumptions used in the option-pricing model for options granted to employees, directors, and non-employees are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7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
        </w:trPr>
        <w:tc>
          <w:tcPr>
            <w:tcW w:w="3660" w:type="dxa"/>
            <w:vAlign w:val="bottom"/>
          </w:tcPr>
          <w:p>
            <w:pPr>
              <w:spacing w:after="0"/>
              <w:rPr>
                <w:sz w:val="2"/>
                <w:szCs w:val="2"/>
                <w:color w:val="auto"/>
              </w:rPr>
            </w:pPr>
          </w:p>
        </w:tc>
        <w:tc>
          <w:tcPr>
            <w:tcW w:w="258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r>
      <w:tr>
        <w:trPr>
          <w:trHeight w:val="186"/>
        </w:trPr>
        <w:tc>
          <w:tcPr>
            <w:tcW w:w="3660" w:type="dxa"/>
            <w:vAlign w:val="bottom"/>
          </w:tcPr>
          <w:p>
            <w:pPr>
              <w:spacing w:after="0"/>
              <w:rPr>
                <w:sz w:val="16"/>
                <w:szCs w:val="16"/>
                <w:color w:val="auto"/>
              </w:rPr>
            </w:pPr>
          </w:p>
        </w:tc>
        <w:tc>
          <w:tcPr>
            <w:tcW w:w="418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00" w:type="dxa"/>
            <w:vAlign w:val="bottom"/>
            <w:gridSpan w:val="3"/>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1600" w:type="dxa"/>
            <w:vAlign w:val="bottom"/>
            <w:gridSpan w:val="2"/>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3660" w:type="dxa"/>
            <w:vAlign w:val="bottom"/>
            <w:tcBorders>
              <w:bottom w:val="single" w:sz="8" w:color="CCEEFF"/>
            </w:tcBorders>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- 6.11</w:t>
            </w:r>
          </w:p>
        </w:tc>
      </w:tr>
      <w:tr>
        <w:trPr>
          <w:trHeight w:val="25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w:t>
            </w:r>
          </w:p>
        </w:tc>
        <w:tc>
          <w:tcPr>
            <w:tcW w:w="1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- 4.4%</w:t>
            </w:r>
          </w:p>
        </w:tc>
      </w:tr>
      <w:tr>
        <w:trPr>
          <w:trHeight w:val="26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3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- 55.0%</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- 54.0%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- 53.3%</w:t>
            </w: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rate</w:t>
            </w:r>
          </w:p>
        </w:tc>
        <w:tc>
          <w:tcPr>
            <w:tcW w:w="2580" w:type="dxa"/>
            <w:vAlign w:val="bottom"/>
          </w:tcPr>
          <w:p>
            <w:pPr>
              <w:spacing w:after="0"/>
              <w:rPr>
                <w:sz w:val="21"/>
                <w:szCs w:val="21"/>
                <w:color w:val="auto"/>
              </w:rPr>
            </w:pP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17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918"/>
        </w:trPr>
        <w:tc>
          <w:tcPr>
            <w:tcW w:w="3660" w:type="dxa"/>
            <w:vAlign w:val="bottom"/>
          </w:tcPr>
          <w:p>
            <w:pPr>
              <w:spacing w:after="0"/>
              <w:rPr>
                <w:sz w:val="24"/>
                <w:szCs w:val="24"/>
                <w:color w:val="auto"/>
              </w:rPr>
            </w:pPr>
          </w:p>
        </w:tc>
        <w:tc>
          <w:tcPr>
            <w:tcW w:w="2580" w:type="dxa"/>
            <w:vAlign w:val="bottom"/>
          </w:tcPr>
          <w:p>
            <w:pPr>
              <w:jc w:val="right"/>
              <w:ind w:right="434"/>
              <w:spacing w:after="0"/>
              <w:rPr>
                <w:sz w:val="20"/>
                <w:szCs w:val="20"/>
                <w:color w:val="auto"/>
              </w:rPr>
            </w:pPr>
            <w:r>
              <w:rPr>
                <w:rFonts w:ascii="Times New Roman" w:cs="Times New Roman" w:eastAsia="Times New Roman" w:hAnsi="Times New Roman"/>
                <w:sz w:val="18"/>
                <w:szCs w:val="18"/>
                <w:color w:val="auto"/>
              </w:rPr>
              <w:t>83</w:t>
            </w: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2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14"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Restricted stock units are subject to service-based or performance-based vesting criteria. The restricted stock units vest based on the terms outlined in the applicable award agreement, which, for service-based awards, is generally over a period of 4 years. The Company's performance-vesting awards are based on the achievement of specified revenue targets and continued employment through the date of achievement of such targets. If the targets have not been achieved prior to the fifth anniversary of the grant, the awards will be forfeited. During the year ended December 31, 2023, the revenue targets associated with the first tranche of the performance-vesting awards were achieved, resulting in the vesting of 166,500 shares. As of December 31, 2024, the second tranche of 166,500 shares of the performance-vesting awards remained unvested.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restricted stock unit activity, including those with performance-based vesting criteria, is as follows: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60" w:type="dxa"/>
            <w:vAlign w:val="bottom"/>
          </w:tcPr>
          <w:p>
            <w:pPr>
              <w:spacing w:after="0"/>
              <w:rPr>
                <w:sz w:val="14"/>
                <w:szCs w:val="14"/>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r>
      <w:tr>
        <w:trPr>
          <w:trHeight w:val="162"/>
        </w:trPr>
        <w:tc>
          <w:tcPr>
            <w:tcW w:w="816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w:t>
            </w:r>
          </w:p>
        </w:tc>
        <w:tc>
          <w:tcPr>
            <w:tcW w:w="120" w:type="dxa"/>
            <w:vAlign w:val="bottom"/>
          </w:tcPr>
          <w:p>
            <w:pPr>
              <w:spacing w:after="0"/>
              <w:rPr>
                <w:sz w:val="14"/>
                <w:szCs w:val="14"/>
                <w:color w:val="auto"/>
              </w:rPr>
            </w:pPr>
          </w:p>
        </w:tc>
        <w:tc>
          <w:tcPr>
            <w:tcW w:w="13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Grant Date</w:t>
            </w:r>
          </w:p>
        </w:tc>
      </w:tr>
      <w:tr>
        <w:trPr>
          <w:trHeight w:val="190"/>
        </w:trPr>
        <w:tc>
          <w:tcPr>
            <w:tcW w:w="816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6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r>
      <w:tr>
        <w:trPr>
          <w:trHeight w:val="23"/>
        </w:trPr>
        <w:tc>
          <w:tcPr>
            <w:tcW w:w="8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0"/>
        </w:trPr>
        <w:tc>
          <w:tcPr>
            <w:tcW w:w="8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2,561,213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w:t>
            </w:r>
          </w:p>
        </w:tc>
      </w:tr>
      <w:tr>
        <w:trPr>
          <w:trHeight w:val="250"/>
        </w:trPr>
        <w:tc>
          <w:tcPr>
            <w:tcW w:w="8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2,570,570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r>
      <w:tr>
        <w:trPr>
          <w:trHeight w:val="263"/>
        </w:trPr>
        <w:tc>
          <w:tcPr>
            <w:tcW w:w="81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(1,015,883)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42.76</w:t>
            </w:r>
          </w:p>
        </w:tc>
      </w:tr>
      <w:tr>
        <w:trPr>
          <w:trHeight w:val="250"/>
        </w:trPr>
        <w:tc>
          <w:tcPr>
            <w:tcW w:w="81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(195,523)</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36.65</w:t>
            </w:r>
          </w:p>
        </w:tc>
      </w:tr>
      <w:tr>
        <w:trPr>
          <w:trHeight w:val="281"/>
        </w:trPr>
        <w:tc>
          <w:tcPr>
            <w:tcW w:w="8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2024</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3,920,377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31.16</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intrinsic value of restricted stock units vested was $27.6 million, $33.0 million, and $22.0 million for the years ended December 31, 2024, 2023, and 2022, respectively.</w:t>
      </w:r>
    </w:p>
    <w:p>
      <w:pPr>
        <w:spacing w:after="0" w:line="14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 date fair value of restricted stock units granted was $25.05, $35.02, and $44.09 for the years ended December 31, 2024, 2023, and 2022, respectively.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grant date fair value of restricted stock units vested was $43.4 million, $45.5 million and $28.5 million for the years ended December 31, 2024, 2023, and 2022, respectively.</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total unrecognized compensation cost related to unvested restricted stock units was approximately $99.5 million at December 31, 2024. The weighted-average remaining recognition period is approximately 2.6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October 2019, the Board of Directors and stockholders also adopted and approved the 2019 Employee Stock Purchase Plan (the “ESPP”). Following the IPO, the ESPP authorized the issuance of 1,700,000 shares of common stock to purchase rights granted to the Company’s employees. Subject to the ESPP, the maximum number of shares of common stock that may be issued under the Plan will not exceed 1,700,000 shares, plus the number of shares that are automatically added on January 1st of each year, in an amount equal to the lesser of 1% of the total number of shares of capital stock outstanding on December 31st of the preceding calendar year, and 2,500,000 shares of common stock, or such smaller amount as determined by the Company's Board of Directors. As of December 31, 2024 and December 31, 2023, 5,111,514 and 4,194,264 shares of common stock remained available to be issued under the ESPP, respectively.</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summarizes the purchases that were made for each purchase period of the ESPP in the years ending December 31, 2024, 2023, and 2022 (in thousands, except for share amounts):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120" w:type="dxa"/>
            <w:vAlign w:val="bottom"/>
            <w:gridSpan w:val="2"/>
          </w:tcPr>
          <w:p>
            <w:pPr>
              <w:ind w:left="2500"/>
              <w:spacing w:after="0"/>
              <w:rPr>
                <w:sz w:val="20"/>
                <w:szCs w:val="20"/>
                <w:color w:val="auto"/>
              </w:rPr>
            </w:pPr>
            <w:r>
              <w:rPr>
                <w:rFonts w:ascii="Times New Roman" w:cs="Times New Roman" w:eastAsia="Times New Roman" w:hAnsi="Times New Roman"/>
                <w:sz w:val="14"/>
                <w:szCs w:val="14"/>
                <w:b w:val="1"/>
                <w:bCs w:val="1"/>
                <w:color w:val="auto"/>
              </w:rPr>
              <w:t>Purchase Period</w:t>
            </w:r>
          </w:p>
        </w:tc>
        <w:tc>
          <w:tcPr>
            <w:tcW w:w="260" w:type="dxa"/>
            <w:vAlign w:val="bottom"/>
          </w:tcPr>
          <w:p>
            <w:pPr>
              <w:spacing w:after="0"/>
              <w:rPr>
                <w:sz w:val="16"/>
                <w:szCs w:val="16"/>
                <w:color w:val="auto"/>
              </w:rPr>
            </w:pPr>
          </w:p>
        </w:tc>
        <w:tc>
          <w:tcPr>
            <w:tcW w:w="2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Proceeds used for purchase</w:t>
            </w:r>
          </w:p>
        </w:tc>
        <w:tc>
          <w:tcPr>
            <w:tcW w:w="420" w:type="dxa"/>
            <w:vAlign w:val="bottom"/>
          </w:tcPr>
          <w:p>
            <w:pPr>
              <w:spacing w:after="0"/>
              <w:rPr>
                <w:sz w:val="16"/>
                <w:szCs w:val="16"/>
                <w:color w:val="auto"/>
              </w:rPr>
            </w:pPr>
          </w:p>
        </w:tc>
        <w:tc>
          <w:tcPr>
            <w:tcW w:w="2100" w:type="dxa"/>
            <w:vAlign w:val="bottom"/>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Shares purchased</w:t>
            </w:r>
          </w:p>
        </w:tc>
      </w:tr>
      <w:tr>
        <w:trPr>
          <w:trHeight w:val="23"/>
        </w:trPr>
        <w:tc>
          <w:tcPr>
            <w:tcW w:w="6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r>
      <w:tr>
        <w:trPr>
          <w:trHeight w:val="250"/>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2021 to January 31, 2022</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19,838</w:t>
            </w:r>
          </w:p>
        </w:tc>
      </w:tr>
      <w:tr>
        <w:trPr>
          <w:trHeight w:val="25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2022 to July 31, 2022</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15,888</w:t>
            </w:r>
          </w:p>
        </w:tc>
      </w:tr>
      <w:tr>
        <w:trPr>
          <w:trHeight w:val="2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2022 to January 31, 2023</w:t>
            </w:r>
          </w:p>
        </w:tc>
        <w:tc>
          <w:tcPr>
            <w:tcW w:w="26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27,492</w:t>
            </w:r>
          </w:p>
        </w:tc>
      </w:tr>
      <w:tr>
        <w:trPr>
          <w:trHeight w:val="250"/>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2023 to July 31, 2023</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17,642</w:t>
            </w:r>
          </w:p>
        </w:tc>
      </w:tr>
      <w:tr>
        <w:trPr>
          <w:trHeight w:val="263"/>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 2023 to January 31, 2024</w:t>
            </w:r>
          </w:p>
        </w:tc>
        <w:tc>
          <w:tcPr>
            <w:tcW w:w="260" w:type="dxa"/>
            <w:vAlign w:val="bottom"/>
            <w:shd w:val="clear" w:color="auto" w:fill="CCEEFF"/>
          </w:tcPr>
          <w:p>
            <w:pPr>
              <w:spacing w:after="0"/>
              <w:rPr>
                <w:sz w:val="22"/>
                <w:szCs w:val="22"/>
                <w:color w:val="auto"/>
              </w:rPr>
            </w:pP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24,387</w:t>
            </w:r>
          </w:p>
        </w:tc>
      </w:tr>
      <w:tr>
        <w:trPr>
          <w:trHeight w:val="243"/>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2024 to July 31, 2024</w:t>
            </w:r>
          </w:p>
        </w:tc>
        <w:tc>
          <w:tcPr>
            <w:tcW w:w="260" w:type="dxa"/>
            <w:vAlign w:val="bottom"/>
          </w:tcPr>
          <w:p>
            <w:pPr>
              <w:spacing w:after="0"/>
              <w:rPr>
                <w:sz w:val="21"/>
                <w:szCs w:val="21"/>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21,848</w:t>
            </w:r>
          </w:p>
        </w:tc>
      </w:tr>
    </w:tbl>
    <w:p>
      <w:pPr>
        <w:spacing w:after="0" w:line="3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next purchase period commenced on August 1, 2024 and ended on January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4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2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15875</wp:posOffset>
            </wp:positionV>
            <wp:extent cx="296608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34,490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25,918</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21,135</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60,841</w:t>
            </w:r>
          </w:p>
        </w:tc>
        <w:tc>
          <w:tcPr>
            <w:tcW w:w="100" w:type="dxa"/>
            <w:vAlign w:val="bottom"/>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61,106</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53,695</w:t>
            </w:r>
          </w:p>
        </w:tc>
      </w:tr>
      <w:tr>
        <w:trPr>
          <w:trHeight w:val="256"/>
        </w:trPr>
        <w:tc>
          <w:tcPr>
            <w:tcW w:w="6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128,130</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122,611</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w:t>
            </w:r>
          </w:p>
        </w:tc>
      </w:tr>
      <w:tr>
        <w:trPr>
          <w:trHeight w:val="21"/>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4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40" w:type="dxa"/>
            <w:vAlign w:val="bottom"/>
          </w:tcPr>
          <w:p>
            <w:pPr>
              <w:spacing w:after="0"/>
              <w:rPr>
                <w:sz w:val="16"/>
                <w:szCs w:val="16"/>
                <w:color w:val="auto"/>
              </w:rPr>
            </w:pPr>
          </w:p>
        </w:tc>
        <w:tc>
          <w:tcPr>
            <w:tcW w:w="2900" w:type="dxa"/>
            <w:vAlign w:val="bottom"/>
            <w:gridSpan w:val="8"/>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140" w:type="dxa"/>
            <w:vAlign w:val="bottom"/>
          </w:tcPr>
          <w:p>
            <w:pPr>
              <w:spacing w:after="0"/>
              <w:rPr>
                <w:sz w:val="16"/>
                <w:szCs w:val="16"/>
                <w:color w:val="auto"/>
              </w:rPr>
            </w:pPr>
          </w:p>
        </w:tc>
        <w:tc>
          <w:tcPr>
            <w:tcW w:w="2660" w:type="dxa"/>
            <w:vAlign w:val="bottom"/>
            <w:gridSpan w:val="7"/>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Year Ended December 31, 2022</w:t>
            </w:r>
          </w:p>
        </w:tc>
        <w:tc>
          <w:tcPr>
            <w:tcW w:w="0" w:type="dxa"/>
            <w:vAlign w:val="bottom"/>
          </w:tcPr>
          <w:p>
            <w:pPr>
              <w:spacing w:after="0"/>
              <w:rPr>
                <w:sz w:val="1"/>
                <w:szCs w:val="1"/>
                <w:color w:val="auto"/>
              </w:rPr>
            </w:pPr>
          </w:p>
        </w:tc>
      </w:tr>
      <w:tr>
        <w:trPr>
          <w:trHeight w:val="23"/>
        </w:trPr>
        <w:tc>
          <w:tcPr>
            <w:tcW w:w="2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29" w:lineRule="exact"/>
              <w:rPr>
                <w:sz w:val="20"/>
                <w:szCs w:val="20"/>
                <w:color w:val="auto"/>
              </w:rPr>
            </w:pPr>
            <w:r>
              <w:rPr>
                <w:rFonts w:ascii="Times New Roman" w:cs="Times New Roman" w:eastAsia="Times New Roman" w:hAnsi="Times New Roman"/>
                <w:sz w:val="14"/>
                <w:szCs w:val="14"/>
                <w:b w:val="1"/>
                <w:bCs w:val="1"/>
                <w:color w:val="auto"/>
              </w:rPr>
              <w:t>Foreign</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gains 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gains 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gains on</w:t>
            </w:r>
          </w:p>
        </w:tc>
        <w:tc>
          <w:tcPr>
            <w:tcW w:w="120" w:type="dxa"/>
            <w:vAlign w:val="bottom"/>
          </w:tcPr>
          <w:p>
            <w:pPr>
              <w:spacing w:after="0"/>
              <w:rPr>
                <w:sz w:val="11"/>
                <w:szCs w:val="11"/>
                <w:color w:val="auto"/>
              </w:rPr>
            </w:pPr>
          </w:p>
        </w:tc>
        <w:tc>
          <w:tcPr>
            <w:tcW w:w="9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4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marketable</w:t>
            </w: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Pr>
          <w:p>
            <w:pPr>
              <w:spacing w:after="0"/>
              <w:rPr>
                <w:sz w:val="12"/>
                <w:szCs w:val="12"/>
                <w:color w:val="auto"/>
              </w:rPr>
            </w:pPr>
          </w:p>
        </w:tc>
        <w:tc>
          <w:tcPr>
            <w:tcW w:w="46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center"/>
              <w:ind w:left="458"/>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75"/>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before reclassifications, net of</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32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28"/>
                <w:szCs w:val="28"/>
                <w:color w:val="auto"/>
                <w:vertAlign w:val="subscript"/>
              </w:rPr>
              <w:t>tax</w:t>
            </w:r>
            <w:r>
              <w:rPr>
                <w:rFonts w:ascii="Times New Roman" w:cs="Times New Roman" w:eastAsia="Times New Roman" w:hAnsi="Times New Roman"/>
                <w:sz w:val="11"/>
                <w:szCs w:val="11"/>
                <w:color w:val="auto"/>
              </w:rPr>
              <w:t>(1)</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center"/>
              <w:ind w:left="498"/>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175"/>
        </w:trPr>
        <w:tc>
          <w:tcPr>
            <w:tcW w:w="2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2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other</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32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comprehensive income, net of</w:t>
            </w: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20" w:type="dxa"/>
            <w:vAlign w:val="bottom"/>
            <w:gridSpan w:val="2"/>
            <w:shd w:val="clear" w:color="auto" w:fill="CCEEFF"/>
          </w:tcPr>
          <w:p>
            <w:pPr>
              <w:ind w:left="20"/>
              <w:spacing w:after="0" w:line="237" w:lineRule="exact"/>
              <w:rPr>
                <w:sz w:val="20"/>
                <w:szCs w:val="20"/>
                <w:color w:val="auto"/>
              </w:rPr>
            </w:pPr>
            <w:r>
              <w:rPr>
                <w:rFonts w:ascii="Times New Roman" w:cs="Times New Roman" w:eastAsia="Times New Roman" w:hAnsi="Times New Roman"/>
                <w:sz w:val="18"/>
                <w:szCs w:val="18"/>
                <w:color w:val="auto"/>
              </w:rPr>
              <w:t>tax</w:t>
            </w:r>
            <w:r>
              <w:rPr>
                <w:rFonts w:ascii="Times New Roman" w:cs="Times New Roman" w:eastAsia="Times New Roman" w:hAnsi="Times New Roman"/>
                <w:sz w:val="23"/>
                <w:szCs w:val="23"/>
                <w:color w:val="auto"/>
                <w:vertAlign w:val="superscript"/>
              </w:rPr>
              <w:t>(2)</w:t>
            </w: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center"/>
              <w:ind w:left="398"/>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155"/>
        </w:trPr>
        <w:tc>
          <w:tcPr>
            <w:tcW w:w="2320" w:type="dxa"/>
            <w:vAlign w:val="bottom"/>
            <w:gridSpan w:val="2"/>
          </w:tcPr>
          <w:p>
            <w:pPr>
              <w:ind w:left="140"/>
              <w:spacing w:after="0" w:line="156" w:lineRule="exact"/>
              <w:rPr>
                <w:sz w:val="20"/>
                <w:szCs w:val="20"/>
                <w:color w:val="auto"/>
              </w:rPr>
            </w:pPr>
            <w:r>
              <w:rPr>
                <w:rFonts w:ascii="Times New Roman" w:cs="Times New Roman" w:eastAsia="Times New Roman" w:hAnsi="Times New Roman"/>
                <w:sz w:val="18"/>
                <w:szCs w:val="18"/>
                <w:color w:val="auto"/>
              </w:rPr>
              <w:t>Net current period other</w:t>
            </w:r>
          </w:p>
        </w:tc>
        <w:tc>
          <w:tcPr>
            <w:tcW w:w="1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32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comprehensive (loss) income</w:t>
            </w:r>
          </w:p>
        </w:tc>
        <w:tc>
          <w:tcPr>
            <w:tcW w:w="1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center"/>
              <w:ind w:left="498"/>
              <w:spacing w:after="0"/>
              <w:rPr>
                <w:sz w:val="20"/>
                <w:szCs w:val="20"/>
                <w:color w:val="auto"/>
              </w:rPr>
            </w:pPr>
            <w:r>
              <w:rPr>
                <w:rFonts w:ascii="Times New Roman" w:cs="Times New Roman" w:eastAsia="Times New Roman" w:hAnsi="Times New Roman"/>
                <w:sz w:val="18"/>
                <w:szCs w:val="18"/>
                <w:color w:val="auto"/>
                <w:w w:val="99"/>
              </w:rPr>
              <w:t>31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0" w:type="dxa"/>
            <w:vAlign w:val="bottom"/>
          </w:tcPr>
          <w:p>
            <w:pPr>
              <w:spacing w:after="0"/>
              <w:rPr>
                <w:sz w:val="1"/>
                <w:szCs w:val="1"/>
                <w:color w:val="auto"/>
              </w:rPr>
            </w:pPr>
          </w:p>
        </w:tc>
      </w:tr>
      <w:tr>
        <w:trPr>
          <w:trHeight w:val="248"/>
        </w:trPr>
        <w:tc>
          <w:tcPr>
            <w:tcW w:w="2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center"/>
              <w:ind w:left="498"/>
              <w:spacing w:after="0"/>
              <w:rPr>
                <w:sz w:val="20"/>
                <w:szCs w:val="20"/>
                <w:color w:val="auto"/>
              </w:rPr>
            </w:pPr>
            <w:r>
              <w:rPr>
                <w:rFonts w:ascii="Times New Roman" w:cs="Times New Roman" w:eastAsia="Times New Roman" w:hAnsi="Times New Roman"/>
                <w:sz w:val="18"/>
                <w:szCs w:val="18"/>
                <w:color w:val="auto"/>
                <w:w w:val="99"/>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24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Represents unrealized gains of $6.2 million, net of tax expense of $1.7 million for the year ended December 31, 2024, unrealized gains of $8.6 million,</w:t>
      </w:r>
    </w:p>
    <w:p>
      <w:pPr>
        <w:spacing w:after="0" w:line="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of tax of $2.5 million for the year ended December 31, 2023, and unrealized gains of $0.9 million, net of tax of $0 for the year ended December 31, 2022.</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The effects on net income of amounts reclassified from accumulated other comprehensive income were as follows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w:t>
            </w:r>
          </w:p>
        </w:tc>
        <w:tc>
          <w:tcPr>
            <w:tcW w:w="2640" w:type="dxa"/>
            <w:vAlign w:val="bottom"/>
            <w:gridSpan w:val="5"/>
          </w:tcPr>
          <w:p>
            <w:pPr>
              <w:ind w:left="9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gridSpan w:val="2"/>
            <w:vMerge w:val="continue"/>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94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Affected Line Item in Statement of Operations</w:t>
            </w:r>
          </w:p>
        </w:tc>
        <w:tc>
          <w:tcPr>
            <w:tcW w:w="0" w:type="dxa"/>
            <w:vAlign w:val="bottom"/>
          </w:tcPr>
          <w:p>
            <w:pPr>
              <w:spacing w:after="0"/>
              <w:rPr>
                <w:sz w:val="1"/>
                <w:szCs w:val="1"/>
                <w:color w:val="auto"/>
              </w:rPr>
            </w:pPr>
          </w:p>
        </w:tc>
      </w:tr>
      <w:tr>
        <w:trPr>
          <w:trHeight w:val="36"/>
        </w:trPr>
        <w:tc>
          <w:tcPr>
            <w:tcW w:w="3740" w:type="dxa"/>
            <w:vAlign w:val="bottom"/>
            <w:gridSpan w:val="2"/>
            <w:vMerge w:val="continue"/>
          </w:tcPr>
          <w:p>
            <w:pPr>
              <w:spacing w:after="0"/>
              <w:rPr>
                <w:sz w:val="3"/>
                <w:szCs w:val="3"/>
                <w:color w:val="auto"/>
              </w:rPr>
            </w:pPr>
          </w:p>
        </w:tc>
        <w:tc>
          <w:tcPr>
            <w:tcW w:w="108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3"/>
                <w:szCs w:val="3"/>
                <w:color w:val="auto"/>
              </w:rPr>
            </w:pP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3"/>
                <w:szCs w:val="3"/>
                <w:color w:val="auto"/>
              </w:rPr>
            </w:pPr>
          </w:p>
        </w:tc>
        <w:tc>
          <w:tcPr>
            <w:tcW w:w="39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37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10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3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40" w:type="dxa"/>
            <w:vAlign w:val="bottom"/>
            <w:tcBorders>
              <w:top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top w:val="single" w:sz="8" w:color="CCEEFF"/>
            </w:tcBorders>
            <w:shd w:val="clear" w:color="auto" w:fill="CCEEFF"/>
          </w:tcPr>
          <w:p>
            <w:pPr>
              <w:spacing w:after="0"/>
              <w:rPr>
                <w:sz w:val="19"/>
                <w:szCs w:val="19"/>
                <w:color w:val="auto"/>
              </w:rPr>
            </w:pPr>
          </w:p>
        </w:tc>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0" w:type="dxa"/>
            <w:vAlign w:val="bottom"/>
          </w:tcPr>
          <w:p>
            <w:pPr>
              <w:spacing w:after="0"/>
              <w:rPr>
                <w:sz w:val="1"/>
                <w:szCs w:val="1"/>
                <w:color w:val="auto"/>
              </w:rPr>
            </w:pPr>
          </w:p>
        </w:tc>
      </w:tr>
      <w:tr>
        <w:trPr>
          <w:trHeight w:val="229"/>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9,982</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2,671</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9"/>
                <w:szCs w:val="19"/>
                <w:color w:val="auto"/>
              </w:rPr>
            </w:pPr>
          </w:p>
        </w:tc>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0" w:type="dxa"/>
            <w:vAlign w:val="bottom"/>
          </w:tcPr>
          <w:p>
            <w:pPr>
              <w:spacing w:after="0"/>
              <w:rPr>
                <w:sz w:val="1"/>
                <w:szCs w:val="1"/>
                <w:color w:val="auto"/>
              </w:rPr>
            </w:pPr>
          </w:p>
        </w:tc>
      </w:tr>
      <w:tr>
        <w:trPr>
          <w:trHeight w:val="228"/>
        </w:trPr>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7,311</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0" w:type="dxa"/>
            <w:vAlign w:val="bottom"/>
          </w:tcPr>
          <w:p>
            <w:pPr>
              <w:spacing w:after="0"/>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reconciliation of net income and the number of shares in the calculation of basic and diluted net income per share is as follows (in thousands, except share and per share amounts):</w:t>
      </w:r>
    </w:p>
    <w:p>
      <w:pPr>
        <w:spacing w:after="0" w:line="210"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r>
      <w:tr>
        <w:trPr>
          <w:trHeight w:val="270"/>
        </w:trPr>
        <w:tc>
          <w:tcPr>
            <w:tcW w:w="6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91,481,995</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95,021,175</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92,195,068</w:t>
            </w:r>
          </w:p>
        </w:tc>
      </w:tr>
      <w:tr>
        <w:trPr>
          <w:trHeight w:val="282"/>
        </w:trPr>
        <w:tc>
          <w:tcPr>
            <w:tcW w:w="65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0.65</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30,358</w:t>
            </w:r>
          </w:p>
        </w:tc>
      </w:tr>
      <w:tr>
        <w:trPr>
          <w:trHeight w:val="270"/>
        </w:trPr>
        <w:tc>
          <w:tcPr>
            <w:tcW w:w="6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56"/>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91,481,995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95,021,175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92,195,068</w:t>
            </w:r>
          </w:p>
        </w:tc>
      </w:tr>
      <w:tr>
        <w:trPr>
          <w:trHeight w:val="263"/>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r>
      <w:tr>
        <w:trPr>
          <w:trHeight w:val="25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3,499,412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4,813,004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6,981,512</w:t>
            </w:r>
          </w:p>
        </w:tc>
      </w:tr>
      <w:tr>
        <w:trPr>
          <w:trHeight w:val="263"/>
        </w:trPr>
        <w:tc>
          <w:tcPr>
            <w:tcW w:w="6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3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r>
      <w:tr>
        <w:trPr>
          <w:trHeight w:val="250"/>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458,537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539,702</w:t>
            </w:r>
          </w:p>
        </w:tc>
      </w:tr>
      <w:tr>
        <w:trPr>
          <w:trHeight w:val="257"/>
        </w:trPr>
        <w:tc>
          <w:tcPr>
            <w:tcW w:w="65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Restricted stock units</w:t>
            </w:r>
          </w:p>
        </w:tc>
        <w:tc>
          <w:tcPr>
            <w:tcW w:w="3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280,105</w:t>
            </w:r>
          </w:p>
        </w:tc>
        <w:tc>
          <w:tcPr>
            <w:tcW w:w="10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378,879</w:t>
            </w: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237,599</w:t>
            </w:r>
          </w:p>
        </w:tc>
      </w:tr>
      <w:tr>
        <w:trPr>
          <w:trHeight w:val="250"/>
        </w:trPr>
        <w:tc>
          <w:tcPr>
            <w:tcW w:w="6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effect of dilutive securities</w:t>
            </w: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3,966,362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5,651,224</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7,762,105</w:t>
            </w:r>
          </w:p>
        </w:tc>
      </w:tr>
      <w:tr>
        <w:trPr>
          <w:trHeight w:val="250"/>
        </w:trPr>
        <w:tc>
          <w:tcPr>
            <w:tcW w:w="65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36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95,448,357</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100,672,399</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99,957,173</w:t>
            </w:r>
          </w:p>
        </w:tc>
      </w:tr>
      <w:tr>
        <w:trPr>
          <w:trHeight w:val="257"/>
        </w:trPr>
        <w:tc>
          <w:tcPr>
            <w:tcW w:w="6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20" w:type="dxa"/>
            <w:vAlign w:val="bottom"/>
          </w:tcPr>
          <w:p>
            <w:pPr>
              <w:spacing w:after="0"/>
              <w:rPr>
                <w:sz w:val="22"/>
                <w:szCs w:val="22"/>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0"/>
        </w:trPr>
        <w:tc>
          <w:tcPr>
            <w:tcW w:w="6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income per share for the periods presented because including them would have been antidilutive:</w:t>
      </w:r>
    </w:p>
    <w:p>
      <w:pPr>
        <w:spacing w:after="0" w:line="223"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60" w:type="dxa"/>
            <w:vAlign w:val="bottom"/>
          </w:tcPr>
          <w:p>
            <w:pPr>
              <w:spacing w:after="0"/>
              <w:rPr>
                <w:sz w:val="16"/>
                <w:szCs w:val="16"/>
                <w:color w:val="auto"/>
              </w:rPr>
            </w:pPr>
          </w:p>
        </w:tc>
        <w:tc>
          <w:tcPr>
            <w:tcW w:w="150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14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5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13,868,635</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11,901,773</w:t>
            </w:r>
          </w:p>
        </w:tc>
        <w:tc>
          <w:tcPr>
            <w:tcW w:w="12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8,019,010</w:t>
            </w:r>
          </w:p>
        </w:tc>
      </w:tr>
      <w:tr>
        <w:trPr>
          <w:trHeight w:val="250"/>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2,118,102</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1,111,634</w:t>
            </w:r>
          </w:p>
        </w:tc>
        <w:tc>
          <w:tcPr>
            <w:tcW w:w="12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1,733,420</w:t>
            </w:r>
          </w:p>
        </w:tc>
      </w:tr>
      <w:tr>
        <w:trPr>
          <w:trHeight w:val="257"/>
        </w:trPr>
        <w:tc>
          <w:tcPr>
            <w:tcW w:w="6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15,990,759</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13,014,326</w:t>
            </w:r>
          </w:p>
        </w:tc>
        <w:tc>
          <w:tcPr>
            <w:tcW w:w="12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9,752,430</w:t>
            </w:r>
          </w:p>
        </w:tc>
      </w:tr>
      <w:tr>
        <w:trPr>
          <w:trHeight w:val="21"/>
        </w:trPr>
        <w:tc>
          <w:tcPr>
            <w:tcW w:w="65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401(k) Plan</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sponsors a 401(k) defined contribution plan covering all employees and began employer contributions in 2018. The Company incurred expenses related to employer contributions of $1.8 million, $1.4 million, and $1.0 million for the years ended December 31, 2024, 2023, and 2022,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Income Taxes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provision (benefit) for income taxes is composed of the following (in thousands):</w:t>
      </w:r>
    </w:p>
    <w:p>
      <w:pPr>
        <w:spacing w:after="0" w:line="259" w:lineRule="exact"/>
        <w:rPr>
          <w:sz w:val="20"/>
          <w:szCs w:val="20"/>
          <w:color w:val="auto"/>
        </w:rPr>
      </w:pPr>
    </w:p>
    <w:p>
      <w:pPr>
        <w:ind w:left="852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19"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22225</wp:posOffset>
            </wp:positionV>
            <wp:extent cx="296608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296608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r>
      <w:tr>
        <w:trPr>
          <w:trHeight w:val="25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27,342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11,980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2,598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5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Total current provision for income taxes</w:t>
            </w:r>
          </w:p>
        </w:tc>
        <w:tc>
          <w:tcPr>
            <w:tcW w:w="24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39,322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4,909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r>
      <w:tr>
        <w:trPr>
          <w:trHeight w:val="26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50"/>
        </w:trPr>
        <w:tc>
          <w:tcPr>
            <w:tcW w:w="65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spacing w:after="0"/>
              <w:rPr>
                <w:sz w:val="21"/>
                <w:szCs w:val="21"/>
                <w:color w:val="auto"/>
              </w:rPr>
            </w:pPr>
          </w:p>
        </w:tc>
        <w:tc>
          <w:tcPr>
            <w:tcW w:w="12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4,433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(6,880)</w:t>
            </w:r>
          </w:p>
        </w:tc>
      </w:tr>
      <w:tr>
        <w:trPr>
          <w:trHeight w:val="257"/>
        </w:trPr>
        <w:tc>
          <w:tcPr>
            <w:tcW w:w="65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(3,620)</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50"/>
        </w:trPr>
        <w:tc>
          <w:tcPr>
            <w:tcW w:w="656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Total deferred provision (benefit) for income taxes</w:t>
            </w:r>
          </w:p>
        </w:tc>
        <w:tc>
          <w:tcPr>
            <w:tcW w:w="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(10,456)</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3,745</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(6,612)</w:t>
            </w:r>
          </w:p>
        </w:tc>
      </w:tr>
      <w:tr>
        <w:trPr>
          <w:trHeight w:val="282"/>
        </w:trPr>
        <w:tc>
          <w:tcPr>
            <w:tcW w:w="6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provision (benefit) for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8,654</w:t>
            </w:r>
          </w:p>
        </w:tc>
        <w:tc>
          <w:tcPr>
            <w:tcW w:w="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501"/>
        </w:trPr>
        <w:tc>
          <w:tcPr>
            <w:tcW w:w="9760" w:type="dxa"/>
            <w:vAlign w:val="bottom"/>
            <w:gridSpan w:val="12"/>
          </w:tcPr>
          <w:p>
            <w:pPr>
              <w:ind w:left="660"/>
              <w:spacing w:after="0"/>
              <w:rPr>
                <w:sz w:val="20"/>
                <w:szCs w:val="20"/>
                <w:color w:val="auto"/>
              </w:rPr>
            </w:pPr>
            <w:r>
              <w:rPr>
                <w:rFonts w:ascii="Times New Roman" w:cs="Times New Roman" w:eastAsia="Times New Roman" w:hAnsi="Times New Roman"/>
                <w:sz w:val="18"/>
                <w:szCs w:val="18"/>
                <w:color w:val="auto"/>
              </w:rPr>
              <w:t>A reconciliation of the U.S. federal statutory income tax rate to the Company’s effective tax rate is as follows: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94"/>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4"/>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0"/>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4"/>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
        </w:trPr>
        <w:tc>
          <w:tcPr>
            <w:tcW w:w="63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6"/>
        </w:trPr>
        <w:tc>
          <w:tcPr>
            <w:tcW w:w="6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27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0"/>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 at statutory rate</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5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6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(48)</w:t>
            </w:r>
          </w:p>
        </w:tc>
      </w:tr>
      <w:tr>
        <w:trPr>
          <w:trHeight w:val="250"/>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Section 162(m) compensation limitation</w:t>
            </w:r>
          </w:p>
        </w:tc>
        <w:tc>
          <w:tcPr>
            <w:tcW w:w="240" w:type="dxa"/>
            <w:vAlign w:val="bottom"/>
          </w:tcPr>
          <w:p>
            <w:pPr>
              <w:spacing w:after="0"/>
              <w:rPr>
                <w:sz w:val="21"/>
                <w:szCs w:val="21"/>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6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For the year ended December 31, 2024, the effective tax rate differs from the U.S. federal statutory rate primarily due to permanent tax adjustments, including shortfalls upon the exercise of stock options and vesting of RSUs as well as the disallowance of certain compensation deductions based on Section 162(m) of the Internal Revenue Code, which limits the compensation deduction of certain highly compensated employees. For the years ended December 31, 2023, and 2022, the effective tax rate differs from the U.S. federal statutory rate primarily due to permanent tax adjustments, including windfalls upon the exercise of stock options and vesting of RSUs.</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the Company’s deferred tax assets and liabilities are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20" w:type="dxa"/>
            <w:vAlign w:val="bottom"/>
          </w:tcPr>
          <w:p>
            <w:pPr>
              <w:spacing w:after="0"/>
              <w:rPr>
                <w:sz w:val="16"/>
                <w:szCs w:val="16"/>
                <w:color w:val="auto"/>
              </w:rPr>
            </w:pPr>
          </w:p>
        </w:tc>
      </w:tr>
      <w:tr>
        <w:trPr>
          <w:trHeight w:val="23"/>
        </w:trPr>
        <w:tc>
          <w:tcPr>
            <w:tcW w:w="81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6"/>
        </w:trPr>
        <w:tc>
          <w:tcPr>
            <w:tcW w:w="8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8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9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12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16,818</w:t>
            </w: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 capitalization and credits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42,257</w:t>
            </w: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Accruals and reserves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18,354</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15,190</w:t>
            </w: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5,171</w:t>
            </w:r>
          </w:p>
        </w:tc>
      </w:tr>
      <w:tr>
        <w:trPr>
          <w:trHeight w:val="257"/>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50"/>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91,761</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80,185</w:t>
            </w:r>
          </w:p>
        </w:tc>
      </w:tr>
      <w:tr>
        <w:trPr>
          <w:trHeight w:val="257"/>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Valuation allowance</w:t>
            </w:r>
          </w:p>
        </w:tc>
        <w:tc>
          <w:tcPr>
            <w:tcW w:w="900" w:type="dxa"/>
            <w:vAlign w:val="bottom"/>
            <w:tcBorders>
              <w:bottom w:val="single" w:sz="8" w:color="auto"/>
            </w:tcBorders>
            <w:shd w:val="clear" w:color="auto" w:fill="CCEEFF"/>
          </w:tcPr>
          <w:p>
            <w:pPr>
              <w:spacing w:after="0"/>
              <w:rPr>
                <w:sz w:val="22"/>
                <w:szCs w:val="2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r>
      <w:tr>
        <w:trPr>
          <w:trHeight w:val="25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after valuation allowance</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89,982</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79,672</w:t>
            </w:r>
          </w:p>
        </w:tc>
      </w:tr>
      <w:tr>
        <w:trPr>
          <w:trHeight w:val="20"/>
        </w:trPr>
        <w:tc>
          <w:tcPr>
            <w:tcW w:w="816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51"/>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50"/>
        </w:trPr>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63"/>
        </w:trPr>
        <w:tc>
          <w:tcPr>
            <w:tcW w:w="8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90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(4,695)</w:t>
            </w:r>
          </w:p>
        </w:tc>
      </w:tr>
      <w:tr>
        <w:trPr>
          <w:trHeight w:val="250"/>
        </w:trPr>
        <w:tc>
          <w:tcPr>
            <w:tcW w:w="8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9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w:t>
            </w:r>
          </w:p>
        </w:tc>
      </w:tr>
      <w:tr>
        <w:trPr>
          <w:trHeight w:val="250"/>
        </w:trPr>
        <w:tc>
          <w:tcPr>
            <w:tcW w:w="8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9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20" w:type="dxa"/>
            <w:vAlign w:val="bottom"/>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r>
      <w:tr>
        <w:trPr>
          <w:trHeight w:val="257"/>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90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84,933</w:t>
            </w:r>
          </w:p>
        </w:tc>
        <w:tc>
          <w:tcPr>
            <w:tcW w:w="120" w:type="dxa"/>
            <w:vAlign w:val="bottom"/>
          </w:tcPr>
          <w:p>
            <w:pPr>
              <w:spacing w:after="0"/>
              <w:rPr>
                <w:sz w:val="22"/>
                <w:szCs w:val="22"/>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73,120</w:t>
            </w:r>
          </w:p>
        </w:tc>
      </w:tr>
      <w:tr>
        <w:trPr>
          <w:trHeight w:val="21"/>
        </w:trPr>
        <w:tc>
          <w:tcPr>
            <w:tcW w:w="8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248285</wp:posOffset>
            </wp:positionV>
            <wp:extent cx="14230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ind w:left="760" w:hanging="104"/>
        <w:spacing w:after="0"/>
        <w:tabs>
          <w:tab w:leader="none" w:pos="76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Presentation updates between the breakout of categories for 2023 have been made from the 2023 Form 10-K for comparability purposes.</w:t>
      </w:r>
    </w:p>
    <w:p>
      <w:pPr>
        <w:spacing w:after="0" w:line="25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 back and tax-planning strategies. The valuation allowance increased by $1.3 million during the year ended December 31, 2024. As of December 31, 2024, management believes there is sufficient positive evidence to conclude that it is more likely than not that substantially all the net deferred tax assets were realizable.</w:t>
      </w:r>
    </w:p>
    <w:p>
      <w:pPr>
        <w:spacing w:after="0" w:line="16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of December 31, 2024, the Company has U.S. federal net operating loss carryforwards of $1.1 million which expire in the year 2030 and U.S. state net operating loss carryforwards of $51.8 million, which will begin to expire in the year 2030. In addition, the Company has foreign net operating loss carryforwards of $5.9 million, which will begin to expire in the year 2042. Utilization of the U.S. federal net operating loss carryforwards may be subject to an annual limitation due to ownership changes, as provided by Section 382 of the Internal Revenue Code. Such annual limitation could result in the expiration of net operating losses before their utilization.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amount of unrecognized tax benefits is as follows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
        </w:trPr>
        <w:tc>
          <w:tcPr>
            <w:tcW w:w="69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6"/>
        </w:trPr>
        <w:tc>
          <w:tcPr>
            <w:tcW w:w="69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698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year</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5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Additions based upon tax positions related to the current year</w:t>
            </w:r>
          </w:p>
        </w:tc>
        <w:tc>
          <w:tcPr>
            <w:tcW w:w="9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2"/>
        </w:trPr>
        <w:tc>
          <w:tcPr>
            <w:tcW w:w="6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end of the year</w:t>
            </w:r>
          </w:p>
        </w:tc>
        <w:tc>
          <w:tcPr>
            <w:tcW w:w="900" w:type="dxa"/>
            <w:vAlign w:val="bottom"/>
            <w:tcBorders>
              <w:top w:val="single" w:sz="8" w:color="auto"/>
              <w:bottom w:val="single" w:sz="8" w:color="auto"/>
            </w:tcBorders>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For the years ended December 31, 2024, 2023, and 2022, the total amount of unrecognized tax benefits that, if recognized, would affect the effective tax rate is $0.6 million, $0.4 million, and $0.4 million, in the aggregate, respectively. The Company classifies interest and penalties related to unrecognized tax benefits as components of the provision for income taxes. As of December 31, 2024, 2023, and 2022, the Company had no significant accrued interest or penalties related to unrecognized tax benefits and no amounts have been recognized in the Company’s consolidated statements of</w:t>
      </w: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The Company does not anticipate any material change in its unrecognized tax benefits over the next twelve months.</w:t>
      </w:r>
    </w:p>
    <w:p>
      <w:pPr>
        <w:spacing w:after="0" w:line="25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U.S. for federal and state and local jurisdictions, as well as in certain foreign jurisdictions, with varying statutes of limitations. All tax years since inception remain open to examination due to the carryover of unused net operating losses.</w:t>
      </w:r>
    </w:p>
    <w:p>
      <w:pPr>
        <w:spacing w:after="0" w:line="172" w:lineRule="exact"/>
        <w:rPr>
          <w:sz w:val="20"/>
          <w:szCs w:val="20"/>
          <w:color w:val="auto"/>
        </w:rPr>
      </w:pPr>
    </w:p>
    <w:p>
      <w:pPr>
        <w:ind w:right="8420" w:firstLine="8"/>
        <w:spacing w:after="0" w:line="516" w:lineRule="auto"/>
        <w:tabs>
          <w:tab w:leader="none" w:pos="27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Arbitration/Litigation</w:t>
      </w: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Reporting</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Substantially, all of the Company's revenues and assets are attributable to the United States.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Company determined it has one operating segment and one reportable segment, as the CODM manages the business and evaluates performance at the consolidated level.</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CODM uses net income to allocate resources (including personnel, technology, and capital resources) for the single segment to make decisions regarding the annual budget, ongoing operations, and strategic investments to drive the Company's strategy and mission.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r>
        <w:trPr>
          <w:trHeight w:val="243"/>
        </w:trPr>
        <w:tc>
          <w:tcPr>
            <w:tcW w:w="3560" w:type="dxa"/>
            <w:vAlign w:val="bottom"/>
            <w:tcBorders>
              <w:bottom w:val="single" w:sz="8" w:color="CCEEFF"/>
            </w:tcBorders>
          </w:tcPr>
          <w:p>
            <w:pPr>
              <w:spacing w:after="0"/>
              <w:rPr>
                <w:sz w:val="21"/>
                <w:szCs w:val="21"/>
                <w:color w:val="auto"/>
              </w:rPr>
            </w:pPr>
          </w:p>
        </w:tc>
        <w:tc>
          <w:tcPr>
            <w:tcW w:w="15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7"/>
        </w:trPr>
        <w:tc>
          <w:tcPr>
            <w:tcW w:w="35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(1)</w:t>
            </w:r>
          </w:p>
        </w:tc>
        <w:tc>
          <w:tcPr>
            <w:tcW w:w="1580" w:type="dxa"/>
            <w:vAlign w:val="bottom"/>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1,167,221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1,088,598</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786,913</w:t>
            </w: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5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6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1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913,858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849,799</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619,588</w:t>
            </w:r>
          </w:p>
        </w:tc>
      </w:tr>
      <w:tr>
        <w:trPr>
          <w:trHeight w:val="25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and marketing</w:t>
            </w:r>
          </w:p>
        </w:tc>
        <w:tc>
          <w:tcPr>
            <w:tcW w:w="1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59,488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45,657</w:t>
            </w:r>
          </w:p>
        </w:tc>
      </w:tr>
      <w:tr>
        <w:trPr>
          <w:trHeight w:val="263"/>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117,127</w:t>
            </w:r>
          </w:p>
        </w:tc>
        <w:tc>
          <w:tcPr>
            <w:tcW w:w="10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98,327</w:t>
            </w:r>
          </w:p>
        </w:tc>
      </w:tr>
      <w:tr>
        <w:trPr>
          <w:trHeight w:val="250"/>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5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57"/>
        </w:trPr>
        <w:tc>
          <w:tcPr>
            <w:tcW w:w="3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58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28,866</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8,654</w:t>
            </w:r>
          </w:p>
        </w:tc>
        <w:tc>
          <w:tcPr>
            <w:tcW w:w="10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(5,917)</w:t>
            </w:r>
          </w:p>
        </w:tc>
      </w:tr>
      <w:tr>
        <w:trPr>
          <w:trHeight w:val="243"/>
        </w:trPr>
        <w:tc>
          <w:tcPr>
            <w:tcW w:w="3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jc w:val="right"/>
              <w:ind w:right="13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62,037</w:t>
            </w:r>
          </w:p>
        </w:tc>
        <w:tc>
          <w:tcPr>
            <w:tcW w:w="10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4230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(1) Refer to footnote 3, for disaggregated revenue by service.</w:t>
      </w:r>
    </w:p>
    <w:p>
      <w:pPr>
        <w:spacing w:after="0" w:line="273" w:lineRule="exact"/>
        <w:rPr>
          <w:sz w:val="20"/>
          <w:szCs w:val="20"/>
          <w:color w:val="auto"/>
        </w:rPr>
      </w:pPr>
    </w:p>
    <w:p>
      <w:pPr>
        <w:jc w:val="center"/>
        <w:ind w:left="94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19685</wp:posOffset>
            </wp:positionV>
            <wp:extent cx="324866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0" w:lineRule="exact"/>
        <w:rPr>
          <w:sz w:val="20"/>
          <w:szCs w:val="20"/>
          <w:color w:val="auto"/>
        </w:rPr>
      </w:pPr>
    </w:p>
    <w:p>
      <w:pPr>
        <w:ind w:left="4620"/>
        <w:spacing w:after="0"/>
        <w:tabs>
          <w:tab w:leader="none" w:pos="720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5494655" cy="1543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5494655" cy="154305"/>
                    </a:xfrm>
                    <a:prstGeom prst="rect">
                      <a:avLst/>
                    </a:prstGeom>
                    <a:noFill/>
                  </pic:spPr>
                </pic:pic>
              </a:graphicData>
            </a:graphic>
          </wp:anchor>
        </w:drawing>
      </w:r>
    </w:p>
    <w:p>
      <w:pPr>
        <w:spacing w:after="0" w:line="34" w:lineRule="exact"/>
        <w:rPr>
          <w:sz w:val="20"/>
          <w:szCs w:val="20"/>
          <w:color w:val="auto"/>
        </w:rPr>
      </w:pPr>
    </w:p>
    <w:p>
      <w:pPr>
        <w:ind w:left="20"/>
        <w:spacing w:after="0"/>
        <w:tabs>
          <w:tab w:leader="none" w:pos="3540" w:val="left"/>
          <w:tab w:leader="none" w:pos="5380" w:val="left"/>
          <w:tab w:leader="none" w:pos="6140" w:val="left"/>
          <w:tab w:leader="none" w:pos="7980" w:val="left"/>
        </w:tabs>
        <w:rPr>
          <w:sz w:val="20"/>
          <w:szCs w:val="20"/>
          <w:color w:val="auto"/>
        </w:rPr>
      </w:pPr>
      <w:r>
        <w:rPr>
          <w:rFonts w:ascii="Times New Roman" w:cs="Times New Roman" w:eastAsia="Times New Roman" w:hAnsi="Times New Roman"/>
          <w:sz w:val="18"/>
          <w:szCs w:val="18"/>
          <w:color w:val="auto"/>
        </w:rPr>
        <w:t>Total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607,102</w:t>
        <w:tab/>
        <w:t>$</w:t>
      </w:r>
      <w:r>
        <w:rPr>
          <w:sz w:val="20"/>
          <w:szCs w:val="20"/>
          <w:color w:val="auto"/>
        </w:rPr>
        <w:tab/>
      </w:r>
      <w:r>
        <w:rPr>
          <w:rFonts w:ascii="Times New Roman" w:cs="Times New Roman" w:eastAsia="Times New Roman" w:hAnsi="Times New Roman"/>
          <w:sz w:val="17"/>
          <w:szCs w:val="17"/>
          <w:color w:val="auto"/>
        </w:rPr>
        <w:t>756,620</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Unaudited Quarterly Results of Operations Data</w:t>
      </w:r>
    </w:p>
    <w:p>
      <w:pPr>
        <w:spacing w:after="0" w:line="21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following table sets forth the unaudited quarterly consolidated results of operations for each of the eight quarterly periods in the period ended December 31, 2024. The unaudited quarterly results of operations have been prepared on the same basis as the audited consolidated financial statements, and we believe they reflect all normal recurring adjustments necessary for the fair statement of the Company’s results of operations for these periods. This information should be read in conjunction with the consolidated financial statements and related notes included elsewhere in this Annual Report. The Company’s historical operating data may not be indicative of the Company’s future performance.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5"/>
        </w:trPr>
        <w:tc>
          <w:tcPr>
            <w:tcW w:w="2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Mar. 31,</w:t>
            </w:r>
          </w:p>
        </w:tc>
        <w:tc>
          <w:tcPr>
            <w:tcW w:w="160" w:type="dxa"/>
            <w:vAlign w:val="bottom"/>
          </w:tcPr>
          <w:p>
            <w:pPr>
              <w:spacing w:after="0"/>
              <w:rPr>
                <w:sz w:val="11"/>
                <w:szCs w:val="11"/>
                <w:color w:val="auto"/>
              </w:rPr>
            </w:pPr>
          </w:p>
        </w:tc>
        <w:tc>
          <w:tcPr>
            <w:tcW w:w="92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Jun. 30,</w:t>
            </w:r>
          </w:p>
        </w:tc>
        <w:tc>
          <w:tcPr>
            <w:tcW w:w="160" w:type="dxa"/>
            <w:vAlign w:val="bottom"/>
          </w:tcPr>
          <w:p>
            <w:pPr>
              <w:spacing w:after="0"/>
              <w:rPr>
                <w:sz w:val="11"/>
                <w:szCs w:val="11"/>
                <w:color w:val="auto"/>
              </w:rPr>
            </w:pPr>
          </w:p>
        </w:tc>
        <w:tc>
          <w:tcPr>
            <w:tcW w:w="920" w:type="dxa"/>
            <w:vAlign w:val="bottom"/>
            <w:gridSpan w:val="2"/>
          </w:tcPr>
          <w:p>
            <w:pPr>
              <w:ind w:left="120"/>
              <w:spacing w:after="0" w:line="136" w:lineRule="exact"/>
              <w:rPr>
                <w:sz w:val="20"/>
                <w:szCs w:val="20"/>
                <w:color w:val="auto"/>
              </w:rPr>
            </w:pPr>
            <w:r>
              <w:rPr>
                <w:rFonts w:ascii="Times New Roman" w:cs="Times New Roman" w:eastAsia="Times New Roman" w:hAnsi="Times New Roman"/>
                <w:sz w:val="13"/>
                <w:szCs w:val="13"/>
                <w:b w:val="1"/>
                <w:bCs w:val="1"/>
                <w:color w:val="auto"/>
              </w:rPr>
              <w:t>Sep. 30,</w:t>
            </w:r>
          </w:p>
        </w:tc>
        <w:tc>
          <w:tcPr>
            <w:tcW w:w="160" w:type="dxa"/>
            <w:vAlign w:val="bottom"/>
          </w:tcPr>
          <w:p>
            <w:pPr>
              <w:spacing w:after="0"/>
              <w:rPr>
                <w:sz w:val="11"/>
                <w:szCs w:val="11"/>
                <w:color w:val="auto"/>
              </w:rPr>
            </w:pPr>
          </w:p>
        </w:tc>
        <w:tc>
          <w:tcPr>
            <w:tcW w:w="92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Dec. 31,</w:t>
            </w:r>
          </w:p>
        </w:tc>
        <w:tc>
          <w:tcPr>
            <w:tcW w:w="160" w:type="dxa"/>
            <w:vAlign w:val="bottom"/>
          </w:tcPr>
          <w:p>
            <w:pPr>
              <w:spacing w:after="0"/>
              <w:rPr>
                <w:sz w:val="11"/>
                <w:szCs w:val="11"/>
                <w:color w:val="auto"/>
              </w:rPr>
            </w:pPr>
          </w:p>
        </w:tc>
        <w:tc>
          <w:tcPr>
            <w:tcW w:w="92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Mar. 31,</w:t>
            </w:r>
          </w:p>
        </w:tc>
        <w:tc>
          <w:tcPr>
            <w:tcW w:w="180" w:type="dxa"/>
            <w:vAlign w:val="bottom"/>
          </w:tcPr>
          <w:p>
            <w:pPr>
              <w:spacing w:after="0"/>
              <w:rPr>
                <w:sz w:val="11"/>
                <w:szCs w:val="11"/>
                <w:color w:val="auto"/>
              </w:rPr>
            </w:pPr>
          </w:p>
        </w:tc>
        <w:tc>
          <w:tcPr>
            <w:tcW w:w="90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b w:val="1"/>
                <w:bCs w:val="1"/>
                <w:color w:val="auto"/>
              </w:rPr>
              <w:t>Jun. 30,</w:t>
            </w:r>
          </w:p>
        </w:tc>
        <w:tc>
          <w:tcPr>
            <w:tcW w:w="180" w:type="dxa"/>
            <w:vAlign w:val="bottom"/>
          </w:tcPr>
          <w:p>
            <w:pPr>
              <w:spacing w:after="0"/>
              <w:rPr>
                <w:sz w:val="11"/>
                <w:szCs w:val="11"/>
                <w:color w:val="auto"/>
              </w:rPr>
            </w:pPr>
          </w:p>
        </w:tc>
        <w:tc>
          <w:tcPr>
            <w:tcW w:w="900" w:type="dxa"/>
            <w:vAlign w:val="bottom"/>
            <w:gridSpan w:val="2"/>
          </w:tcPr>
          <w:p>
            <w:pPr>
              <w:ind w:left="100"/>
              <w:spacing w:after="0" w:line="136" w:lineRule="exact"/>
              <w:rPr>
                <w:sz w:val="20"/>
                <w:szCs w:val="20"/>
                <w:color w:val="auto"/>
              </w:rPr>
            </w:pPr>
            <w:r>
              <w:rPr>
                <w:rFonts w:ascii="Times New Roman" w:cs="Times New Roman" w:eastAsia="Times New Roman" w:hAnsi="Times New Roman"/>
                <w:sz w:val="13"/>
                <w:szCs w:val="13"/>
                <w:b w:val="1"/>
                <w:bCs w:val="1"/>
                <w:color w:val="auto"/>
              </w:rPr>
              <w:t>Sep. 30,</w:t>
            </w:r>
          </w:p>
        </w:tc>
        <w:tc>
          <w:tcPr>
            <w:tcW w:w="180" w:type="dxa"/>
            <w:vAlign w:val="bottom"/>
          </w:tcPr>
          <w:p>
            <w:pPr>
              <w:spacing w:after="0"/>
              <w:rPr>
                <w:sz w:val="11"/>
                <w:szCs w:val="11"/>
                <w:color w:val="auto"/>
              </w:rPr>
            </w:pPr>
          </w:p>
        </w:tc>
        <w:tc>
          <w:tcPr>
            <w:tcW w:w="800" w:type="dxa"/>
            <w:vAlign w:val="bottom"/>
          </w:tcPr>
          <w:p>
            <w:pPr>
              <w:jc w:val="right"/>
              <w:ind w:right="229"/>
              <w:spacing w:after="0" w:line="136" w:lineRule="exact"/>
              <w:rPr>
                <w:sz w:val="20"/>
                <w:szCs w:val="20"/>
                <w:color w:val="auto"/>
              </w:rPr>
            </w:pPr>
            <w:r>
              <w:rPr>
                <w:rFonts w:ascii="Times New Roman" w:cs="Times New Roman" w:eastAsia="Times New Roman" w:hAnsi="Times New Roman"/>
                <w:sz w:val="13"/>
                <w:szCs w:val="13"/>
                <w:b w:val="1"/>
                <w:bCs w:val="1"/>
                <w:color w:val="auto"/>
              </w:rPr>
              <w:t>Dec. 31,</w:t>
            </w:r>
          </w:p>
        </w:tc>
        <w:tc>
          <w:tcPr>
            <w:tcW w:w="0" w:type="dxa"/>
            <w:vAlign w:val="bottom"/>
          </w:tcPr>
          <w:p>
            <w:pPr>
              <w:spacing w:after="0"/>
              <w:rPr>
                <w:sz w:val="1"/>
                <w:szCs w:val="1"/>
                <w:color w:val="auto"/>
              </w:rPr>
            </w:pPr>
          </w:p>
        </w:tc>
      </w:tr>
      <w:tr>
        <w:trPr>
          <w:trHeight w:val="166"/>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289"/>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(in thousands)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258,394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279,373</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280,891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269,940</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278,078</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304,087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286,625</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298,431</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services</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199,754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218,732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218,267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213,046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215,672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235,806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227,381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234,999</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58,640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62,624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56,894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62,406</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68,281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59,244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63,432</w:t>
            </w:r>
          </w:p>
        </w:tc>
        <w:tc>
          <w:tcPr>
            <w:tcW w:w="0" w:type="dxa"/>
            <w:vAlign w:val="bottom"/>
          </w:tcPr>
          <w:p>
            <w:pPr>
              <w:spacing w:after="0"/>
              <w:rPr>
                <w:sz w:val="1"/>
                <w:szCs w:val="1"/>
                <w:color w:val="auto"/>
              </w:rPr>
            </w:pPr>
          </w:p>
        </w:tc>
      </w:tr>
      <w:tr>
        <w:trPr>
          <w:trHeight w:val="193"/>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Sales and marketing</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14,282</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15,384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14,911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15,454</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16,421</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15,616</w:t>
            </w:r>
          </w:p>
        </w:tc>
        <w:tc>
          <w:tcPr>
            <w:tcW w:w="0" w:type="dxa"/>
            <w:vAlign w:val="bottom"/>
          </w:tcPr>
          <w:p>
            <w:pPr>
              <w:spacing w:after="0"/>
              <w:rPr>
                <w:sz w:val="1"/>
                <w:szCs w:val="1"/>
                <w:color w:val="auto"/>
              </w:rPr>
            </w:pPr>
          </w:p>
        </w:tc>
      </w:tr>
      <w:tr>
        <w:trPr>
          <w:trHeight w:val="193"/>
        </w:trPr>
        <w:tc>
          <w:tcPr>
            <w:tcW w:w="2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29,347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28,183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31,173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30,329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32,029</w:t>
            </w:r>
          </w:p>
        </w:tc>
        <w:tc>
          <w:tcPr>
            <w:tcW w:w="0" w:type="dxa"/>
            <w:vAlign w:val="bottom"/>
          </w:tcPr>
          <w:p>
            <w:pPr>
              <w:spacing w:after="0"/>
              <w:rPr>
                <w:sz w:val="1"/>
                <w:szCs w:val="1"/>
                <w:color w:val="auto"/>
              </w:rPr>
            </w:pPr>
          </w:p>
        </w:tc>
      </w:tr>
      <w:tr>
        <w:trPr>
          <w:trHeight w:val="23"/>
        </w:trPr>
        <w:tc>
          <w:tcPr>
            <w:tcW w:w="27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43,629</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45,457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44,435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43,094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43,883</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47,594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46,786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47,645</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from operations</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15,184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18,189</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13,800</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18,523</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20,687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12,458</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15,787</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and other income, net</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1,320</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1,871</w:t>
            </w:r>
          </w:p>
        </w:tc>
        <w:tc>
          <w:tcPr>
            <w:tcW w:w="0" w:type="dxa"/>
            <w:vAlign w:val="bottom"/>
          </w:tcPr>
          <w:p>
            <w:pPr>
              <w:spacing w:after="0"/>
              <w:rPr>
                <w:sz w:val="1"/>
                <w:szCs w:val="1"/>
                <w:color w:val="auto"/>
              </w:rPr>
            </w:pPr>
          </w:p>
        </w:tc>
      </w:tr>
      <w:tr>
        <w:trPr>
          <w:trHeight w:val="186"/>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16,331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17,167</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20,931</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16,262</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22,515</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25,067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17,962</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17,658</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(benefit) for income taxes</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7,126</w:t>
            </w:r>
          </w:p>
        </w:tc>
        <w:tc>
          <w:tcPr>
            <w:tcW w:w="0" w:type="dxa"/>
            <w:vAlign w:val="bottom"/>
          </w:tcPr>
          <w:p>
            <w:pPr>
              <w:spacing w:after="0"/>
              <w:rPr>
                <w:sz w:val="1"/>
                <w:szCs w:val="1"/>
                <w:color w:val="auto"/>
              </w:rPr>
            </w:pPr>
          </w:p>
        </w:tc>
      </w:tr>
      <w:tr>
        <w:trPr>
          <w:trHeight w:val="210"/>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17,678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14,991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15,898</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13,470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16,898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16,485</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10,421</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10,532</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tcBorders>
              <w:bottom w:val="single" w:sz="8" w:color="CCEEFF"/>
            </w:tcBorders>
            <w:shd w:val="clear" w:color="auto" w:fill="CCEEFF"/>
          </w:tcPr>
          <w:p>
            <w:pPr>
              <w:ind w:left="20"/>
              <w:spacing w:after="0" w:line="159" w:lineRule="exact"/>
              <w:rPr>
                <w:sz w:val="20"/>
                <w:szCs w:val="20"/>
                <w:color w:val="auto"/>
              </w:rPr>
            </w:pPr>
            <w:r>
              <w:rPr>
                <w:rFonts w:ascii="Times New Roman" w:cs="Times New Roman" w:eastAsia="Times New Roman" w:hAnsi="Times New Roman"/>
                <w:sz w:val="14"/>
                <w:szCs w:val="14"/>
                <w:color w:val="auto"/>
              </w:rPr>
              <w:t>Net income per share:</w:t>
            </w:r>
          </w:p>
        </w:tc>
        <w:tc>
          <w:tcPr>
            <w:tcW w:w="16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2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Times New Roman" w:cs="Times New Roman" w:eastAsia="Times New Roman" w:hAnsi="Times New Roman"/>
                <w:sz w:val="14"/>
                <w:szCs w:val="14"/>
                <w:color w:val="auto"/>
              </w:rPr>
              <w:t>Weighted-average shares used in computing</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2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per share:</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7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Basic</w:t>
            </w:r>
          </w:p>
        </w:tc>
        <w:tc>
          <w:tcPr>
            <w:tcW w:w="16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93,832,873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94,738,651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95,502,250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95,980,425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96,484,657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93,868,409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90,067,675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85,809,325</w:t>
            </w:r>
          </w:p>
        </w:tc>
        <w:tc>
          <w:tcPr>
            <w:tcW w:w="0" w:type="dxa"/>
            <w:vAlign w:val="bottom"/>
          </w:tcPr>
          <w:p>
            <w:pPr>
              <w:spacing w:after="0"/>
              <w:rPr>
                <w:sz w:val="1"/>
                <w:szCs w:val="1"/>
                <w:color w:val="auto"/>
              </w:rPr>
            </w:pP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7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100,166,008</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100,615,919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100,879,576</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100,748,054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101,052,933</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97,839,576</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93,821,812</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88,914,595</w:t>
            </w:r>
          </w:p>
        </w:tc>
        <w:tc>
          <w:tcPr>
            <w:tcW w:w="0" w:type="dxa"/>
            <w:vAlign w:val="bottom"/>
          </w:tcPr>
          <w:p>
            <w:pPr>
              <w:spacing w:after="0"/>
              <w:rPr>
                <w:sz w:val="1"/>
                <w:szCs w:val="1"/>
                <w:color w:val="auto"/>
              </w:rPr>
            </w:pPr>
          </w:p>
        </w:tc>
      </w:tr>
      <w:tr>
        <w:trPr>
          <w:trHeight w:val="20"/>
        </w:trPr>
        <w:tc>
          <w:tcPr>
            <w:tcW w:w="27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40"/>
          </w:cols>
          <w:pgMar w:left="320" w:top="337" w:right="1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Annual Report on Form 10-K,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December 31,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that term is defined in Rule 13a-15(f) and 15d-15(f) under the Exchange Act).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principal executive officer and principal financial officer, our management assessed the effectiveness of our internal control over financial reporting as of December 31, 2024 based on the criteria set forth in Internal Control—Integrated Framework issued by the Committee of Sponsoring Organizations of the Treadway Commission (2013 framework). Based on its assessment, our management concluded that our internal control over financial reporting was effective as of December 31, 2024.</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accordance with guidance issued by the SEC, companies are permitted to exclude acquisitions from their final assessment of internal control over financial reporting for the first fiscal year in which the acquisition occurred. Our management's evaluation of internal control over financial reporting excluded Apryl GmbH, also known as Progyny Global, which we acquired on June 17, 2024. On a consolidated basis, Apryl GmbH, also known as Progyny Global, represented less than 1% of our total assets and total revenues for the fiscal year ended December 31,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Independent Registered Public Accounting Firm</w:t>
      </w:r>
    </w:p>
    <w:p>
      <w:pPr>
        <w:spacing w:after="0" w:line="216" w:lineRule="exact"/>
        <w:rPr>
          <w:sz w:val="20"/>
          <w:szCs w:val="20"/>
          <w:color w:val="auto"/>
        </w:rPr>
      </w:pPr>
    </w:p>
    <w:p>
      <w:pPr>
        <w:jc w:val="both"/>
        <w:ind w:firstLine="674"/>
        <w:spacing w:after="0" w:line="266" w:lineRule="auto"/>
        <w:rPr>
          <w:sz w:val="20"/>
          <w:szCs w:val="20"/>
          <w:color w:val="auto"/>
        </w:rPr>
      </w:pPr>
      <w:r>
        <w:rPr>
          <w:rFonts w:ascii="Times New Roman" w:cs="Times New Roman" w:eastAsia="Times New Roman" w:hAnsi="Times New Roman"/>
          <w:sz w:val="18"/>
          <w:szCs w:val="18"/>
          <w:color w:val="auto"/>
        </w:rPr>
        <w:t>Ernst &amp; Young LLP, an independent registered public accounting firm, has audited the consolidated financial statements included in this Annual Report on Form 10-K and has issued an attestation report on our internal control over financial reporting, which is included in this Item 9A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6" w:lineRule="exact"/>
        <w:rPr>
          <w:sz w:val="20"/>
          <w:szCs w:val="20"/>
          <w:color w:val="auto"/>
        </w:rPr>
      </w:pPr>
    </w:p>
    <w:p>
      <w:pPr>
        <w:jc w:val="both"/>
        <w:ind w:firstLine="674"/>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December 31, 2024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Progyny,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1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have audited Progyny, Inc.’s internal control over financial reporting as of December 31, 2024, based on criteria established in Internal Control —Integrated Framework issued by the Committee of Sponsoring Organizations of the Treadway Commission (2013 framework) (the COSO criteria). In our opinion, Progyny, Inc. (the Company) maintained, in all material respects, effective internal control over financial reporting as of December 31, 2024, based on the COSO criteria.</w:t>
      </w:r>
    </w:p>
    <w:p>
      <w:pPr>
        <w:spacing w:after="0" w:line="16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As indicated in the accompanying Management’s Annual Report on Internal Control Over Financial Reporting, management’s assessment of and conclusion on the effectiveness of internal control over financial reporting did not include the internal controls of Apryl GmbH also known as Progyny Global, which is included in the 2024 consolidated financial statements of the Company and constituted less than 1% of total assets and revenue as of and for the year ended December 31, 2024, respectively. Our audit of internal control over financial reporting of the Company also did not include an evaluation of the internal control over financial reporting of Apryl GmbH also known as Progyny Global.</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2023, the related consolidated statements of operations, comprehensive income, changes in stockholders’ equity and cash flows for each of the three years in the period ended December 31, 2024 and the related notes, and our report dated March 3, 2025 expressed an unqualified opinion thereon.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16" w:lineRule="exact"/>
        <w:rPr>
          <w:sz w:val="20"/>
          <w:szCs w:val="20"/>
          <w:color w:val="auto"/>
        </w:rPr>
      </w:pPr>
    </w:p>
    <w:p>
      <w:pPr>
        <w:ind w:left="960" w:hanging="304"/>
        <w:spacing w:after="0"/>
        <w:tabs>
          <w:tab w:leader="none" w:pos="9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20, 2024, Peter Anevski, our Chief Executive Officer, terminated the trading plan that was intended to satisfy the conditions under Rule 10b5-1(c) of the Exchange Act adopted by him on January 26, 2024. The plan provided for the sale of up to 1,195,000 shares of the Company’s common stock in amounts and prices determined in accordance with a formula set forth in the plan.</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DIRECTORS, EXECUTIVE OFFICERS AND CORPORATE GOVERNANCE</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Company has an insider trading policy governing the purchase, sale and other dispositions of the Company's securities that applies to all of the Company's directors, officers, employees and other covered persons, as well as the Company itself. The Company believes that its insider trading policy is reasonably designed to promote compliance with insider trading laws, rules and regulations and applicable Nasdaq listing standards. A copy of the Company's insider trading policy is filed as Exhibit 19.1 to this Annual Report on Form 10-K.</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other information required by this item will be included under the headings “Proposal 1—Election of Directors,” “Information about Director Nominees and Current Directors,” “Information about the Board of Directors and Corporate Governance,” “Executive Officers,” and, if applicable, “Delinquent Section 16(a) Reports” in our definitive proxy statement relating to the 2025 Annual Meeting of Stockholders to be filed with the SEC within 120 days of the fiscal year ended December 31, 2024, which we refer to as our 2025 Proxy Statement, and such required information is hereby incorporated by reference into this Annual Report on Form 10-K.</w:t>
      </w:r>
    </w:p>
    <w:p>
      <w:pPr>
        <w:spacing w:after="0" w:line="19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color w:val="auto"/>
        </w:rPr>
        <w:t>EXECUTIVE COMPENSATION</w:t>
      </w:r>
    </w:p>
    <w:p>
      <w:pPr>
        <w:spacing w:after="0" w:line="216"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“Executive Compensation,” “Director Compensation,” and “Information about the Board of Directors and Corporate Governance” in our 2025 Proxy Statement and is hereby incorporated by reference into this Annual Report on Form 10-K.</w:t>
      </w:r>
    </w:p>
    <w:p>
      <w:pPr>
        <w:spacing w:after="0" w:line="165" w:lineRule="exact"/>
        <w:rPr>
          <w:sz w:val="20"/>
          <w:szCs w:val="20"/>
          <w:color w:val="auto"/>
        </w:rPr>
      </w:pPr>
    </w:p>
    <w:p>
      <w:pPr>
        <w:ind w:right="420"/>
        <w:spacing w:after="0" w:line="271"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171"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“Equity Compensation Plan Information” and “Security Ownership of Certain Beneficial Owners and Management” in our 2025 Proxy Statement and is hereby incorporated by reference into this Annual Report on Form 10 K.</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TRANSACTIONS, AND DIRECTOR INDEPENDENCE</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“Transactions with Related Persons” and “Information about the Board of Directors and Corporate Governance” in our 2025 Proxy Statement and is hereby incorporated by reference into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will be included under the headings “Principal Accountant Fees and Services” and “Pre-Approval Policies and Procedures” in our 2025 Proxy Statement and is hereby incorporated by reference into this Annual Report on Form 10-K.</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1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225" w:lineRule="exact"/>
        <w:rPr>
          <w:sz w:val="20"/>
          <w:szCs w:val="20"/>
          <w:color w:val="auto"/>
        </w:rPr>
      </w:pPr>
    </w:p>
    <w:p>
      <w:pPr>
        <w:jc w:val="center"/>
        <w:ind w:right="7640"/>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(a)</w:t>
      </w:r>
      <w:r>
        <w:rPr>
          <w:sz w:val="20"/>
          <w:szCs w:val="20"/>
          <w:color w:val="auto"/>
        </w:rPr>
        <w:tab/>
      </w:r>
      <w:r>
        <w:rPr>
          <w:rFonts w:ascii="Times New Roman" w:cs="Times New Roman" w:eastAsia="Times New Roman" w:hAnsi="Times New Roman"/>
          <w:sz w:val="18"/>
          <w:szCs w:val="18"/>
          <w:b w:val="1"/>
          <w:bCs w:val="1"/>
          <w:color w:val="auto"/>
        </w:rPr>
        <w:t>Documents filed as part of this report:</w:t>
      </w:r>
    </w:p>
    <w:p>
      <w:pPr>
        <w:spacing w:after="0" w:line="212" w:lineRule="exact"/>
        <w:rPr>
          <w:sz w:val="20"/>
          <w:szCs w:val="20"/>
          <w:color w:val="auto"/>
        </w:rPr>
      </w:pPr>
    </w:p>
    <w:p>
      <w:pPr>
        <w:jc w:val="center"/>
        <w:ind w:right="7600"/>
        <w:spacing w:after="0"/>
        <w:rPr>
          <w:sz w:val="20"/>
          <w:szCs w:val="20"/>
          <w:color w:val="auto"/>
        </w:rPr>
      </w:pPr>
      <w:r>
        <w:rPr>
          <w:rFonts w:ascii="Times New Roman" w:cs="Times New Roman" w:eastAsia="Times New Roman" w:hAnsi="Times New Roman"/>
          <w:sz w:val="18"/>
          <w:szCs w:val="18"/>
          <w:b w:val="1"/>
          <w:bCs w:val="1"/>
          <w:color w:val="auto"/>
        </w:rPr>
        <w:t>1. List of Financial Statements</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financial statements are included in Item 8 “Financial Statements and Supplementary Data” herein.</w:t>
      </w:r>
    </w:p>
    <w:p>
      <w:pPr>
        <w:spacing w:after="0" w:line="28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364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26"/>
        </w:trPr>
        <w:tc>
          <w:tcPr>
            <w:tcW w:w="7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Report of Independent Registered Public Accounting Firm</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63</w:t>
            </w:r>
          </w:p>
        </w:tc>
      </w:tr>
      <w:tr>
        <w:trPr>
          <w:trHeight w:val="304"/>
        </w:trPr>
        <w:tc>
          <w:tcPr>
            <w:tcW w:w="42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3340" w:type="dxa"/>
            <w:vAlign w:val="bottom"/>
            <w:gridSpan w:val="2"/>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r>
        <w:trPr>
          <w:trHeight w:val="243"/>
        </w:trPr>
        <w:tc>
          <w:tcPr>
            <w:tcW w:w="140" w:type="dxa"/>
            <w:vAlign w:val="bottom"/>
          </w:tcPr>
          <w:p>
            <w:pPr>
              <w:spacing w:after="0"/>
              <w:rPr>
                <w:sz w:val="21"/>
                <w:szCs w:val="21"/>
                <w:color w:val="auto"/>
              </w:rPr>
            </w:pPr>
          </w:p>
        </w:tc>
        <w:tc>
          <w:tcPr>
            <w:tcW w:w="210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Consolidated Balance Sheets</w:t>
            </w:r>
          </w:p>
        </w:tc>
        <w:tc>
          <w:tcPr>
            <w:tcW w:w="5320" w:type="dxa"/>
            <w:vAlign w:val="bottom"/>
            <w:gridSpan w:val="7"/>
          </w:tcPr>
          <w:p>
            <w:pPr>
              <w:spacing w:after="0"/>
              <w:rPr>
                <w:sz w:val="21"/>
                <w:szCs w:val="21"/>
                <w:color w:val="auto"/>
              </w:rPr>
            </w:pPr>
          </w:p>
        </w:tc>
        <w:tc>
          <w:tcPr>
            <w:tcW w:w="3460" w:type="dxa"/>
            <w:vAlign w:val="bottom"/>
          </w:tcPr>
          <w:p>
            <w:pPr>
              <w:spacing w:after="0"/>
              <w:rPr>
                <w:sz w:val="21"/>
                <w:szCs w:val="21"/>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r>
      <w:tr>
        <w:trPr>
          <w:trHeight w:val="263"/>
        </w:trPr>
        <w:tc>
          <w:tcPr>
            <w:tcW w:w="140" w:type="dxa"/>
            <w:vAlign w:val="bottom"/>
          </w:tcPr>
          <w:p>
            <w:pPr>
              <w:spacing w:after="0"/>
              <w:rPr>
                <w:sz w:val="22"/>
                <w:szCs w:val="22"/>
                <w:color w:val="auto"/>
              </w:rPr>
            </w:pPr>
          </w:p>
        </w:tc>
        <w:tc>
          <w:tcPr>
            <w:tcW w:w="74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66</w:t>
            </w:r>
          </w:p>
        </w:tc>
      </w:tr>
      <w:tr>
        <w:trPr>
          <w:trHeight w:val="20"/>
        </w:trPr>
        <w:tc>
          <w:tcPr>
            <w:tcW w:w="140" w:type="dxa"/>
            <w:vAlign w:val="bottom"/>
          </w:tcPr>
          <w:p>
            <w:pPr>
              <w:spacing w:after="0" w:line="20" w:lineRule="exact"/>
              <w:rPr>
                <w:sz w:val="1"/>
                <w:szCs w:val="1"/>
                <w:color w:val="auto"/>
              </w:rPr>
            </w:pPr>
          </w:p>
        </w:tc>
        <w:tc>
          <w:tcPr>
            <w:tcW w:w="2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3"/>
        </w:trPr>
        <w:tc>
          <w:tcPr>
            <w:tcW w:w="140" w:type="dxa"/>
            <w:vAlign w:val="bottom"/>
          </w:tcPr>
          <w:p>
            <w:pPr>
              <w:spacing w:after="0"/>
              <w:rPr>
                <w:sz w:val="22"/>
                <w:szCs w:val="22"/>
                <w:color w:val="auto"/>
              </w:rPr>
            </w:pPr>
          </w:p>
        </w:tc>
        <w:tc>
          <w:tcPr>
            <w:tcW w:w="74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Income</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67</w:t>
            </w:r>
          </w:p>
        </w:tc>
      </w:tr>
      <w:tr>
        <w:trPr>
          <w:trHeight w:val="20"/>
        </w:trPr>
        <w:tc>
          <w:tcPr>
            <w:tcW w:w="140" w:type="dxa"/>
            <w:vAlign w:val="bottom"/>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264"/>
        </w:trPr>
        <w:tc>
          <w:tcPr>
            <w:tcW w:w="140" w:type="dxa"/>
            <w:vAlign w:val="bottom"/>
          </w:tcPr>
          <w:p>
            <w:pPr>
              <w:spacing w:after="0"/>
              <w:rPr>
                <w:sz w:val="22"/>
                <w:szCs w:val="22"/>
                <w:color w:val="auto"/>
              </w:rPr>
            </w:pPr>
          </w:p>
        </w:tc>
        <w:tc>
          <w:tcPr>
            <w:tcW w:w="742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3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68</w:t>
            </w:r>
          </w:p>
        </w:tc>
      </w:tr>
      <w:tr>
        <w:trPr>
          <w:trHeight w:val="263"/>
        </w:trPr>
        <w:tc>
          <w:tcPr>
            <w:tcW w:w="140" w:type="dxa"/>
            <w:vAlign w:val="bottom"/>
          </w:tcPr>
          <w:p>
            <w:pPr>
              <w:spacing w:after="0"/>
              <w:rPr>
                <w:sz w:val="22"/>
                <w:szCs w:val="22"/>
                <w:color w:val="auto"/>
              </w:rPr>
            </w:pPr>
          </w:p>
        </w:tc>
        <w:tc>
          <w:tcPr>
            <w:tcW w:w="2880" w:type="dxa"/>
            <w:vAlign w:val="bottom"/>
            <w:tcBorders>
              <w:top w:val="single" w:sz="8" w:color="0000FF"/>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Consolidated Statements of Cash Flows</w:t>
            </w:r>
          </w:p>
        </w:tc>
        <w:tc>
          <w:tcPr>
            <w:tcW w:w="1520" w:type="dxa"/>
            <w:vAlign w:val="bottom"/>
            <w:tcBorders>
              <w:top w:val="single" w:sz="8" w:color="0000FF"/>
            </w:tcBorders>
            <w:gridSpan w:val="4"/>
          </w:tcPr>
          <w:p>
            <w:pPr>
              <w:spacing w:after="0"/>
              <w:rPr>
                <w:sz w:val="22"/>
                <w:szCs w:val="22"/>
                <w:color w:val="auto"/>
              </w:rPr>
            </w:pPr>
          </w:p>
        </w:tc>
        <w:tc>
          <w:tcPr>
            <w:tcW w:w="3020" w:type="dxa"/>
            <w:vAlign w:val="bottom"/>
          </w:tcPr>
          <w:p>
            <w:pPr>
              <w:spacing w:after="0"/>
              <w:rPr>
                <w:sz w:val="22"/>
                <w:szCs w:val="22"/>
                <w:color w:val="auto"/>
              </w:rPr>
            </w:pPr>
          </w:p>
        </w:tc>
        <w:tc>
          <w:tcPr>
            <w:tcW w:w="3460" w:type="dxa"/>
            <w:vAlign w:val="bottom"/>
          </w:tcPr>
          <w:p>
            <w:pPr>
              <w:spacing w:after="0"/>
              <w:rPr>
                <w:sz w:val="22"/>
                <w:szCs w:val="22"/>
                <w:color w:val="auto"/>
              </w:rPr>
            </w:pPr>
          </w:p>
        </w:tc>
        <w:tc>
          <w:tcPr>
            <w:tcW w:w="180" w:type="dxa"/>
            <w:vAlign w:val="bottom"/>
            <w:tcBorders>
              <w:top w:val="single" w:sz="8" w:color="0000FF"/>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69</w:t>
            </w:r>
          </w:p>
        </w:tc>
      </w:tr>
      <w:tr>
        <w:trPr>
          <w:trHeight w:val="263"/>
        </w:trPr>
        <w:tc>
          <w:tcPr>
            <w:tcW w:w="140" w:type="dxa"/>
            <w:vAlign w:val="bottom"/>
          </w:tcPr>
          <w:p>
            <w:pPr>
              <w:spacing w:after="0"/>
              <w:rPr>
                <w:sz w:val="22"/>
                <w:szCs w:val="22"/>
                <w:color w:val="auto"/>
              </w:rPr>
            </w:pPr>
          </w:p>
        </w:tc>
        <w:tc>
          <w:tcPr>
            <w:tcW w:w="3160" w:type="dxa"/>
            <w:vAlign w:val="bottom"/>
            <w:tcBorders>
              <w:bottom w:val="single" w:sz="8" w:color="0000FF"/>
            </w:tcBorders>
            <w:gridSpan w:val="4"/>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4260" w:type="dxa"/>
            <w:vAlign w:val="bottom"/>
            <w:gridSpan w:val="4"/>
          </w:tcPr>
          <w:p>
            <w:pPr>
              <w:spacing w:after="0"/>
              <w:rPr>
                <w:sz w:val="22"/>
                <w:szCs w:val="22"/>
                <w:color w:val="auto"/>
              </w:rPr>
            </w:pPr>
          </w:p>
        </w:tc>
        <w:tc>
          <w:tcPr>
            <w:tcW w:w="3460" w:type="dxa"/>
            <w:vAlign w:val="bottom"/>
          </w:tcPr>
          <w:p>
            <w:pPr>
              <w:spacing w:after="0"/>
              <w:rPr>
                <w:sz w:val="22"/>
                <w:szCs w:val="22"/>
                <w:color w:val="auto"/>
              </w:rPr>
            </w:pPr>
          </w:p>
        </w:tc>
        <w:tc>
          <w:tcPr>
            <w:tcW w:w="18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18"/>
                <w:szCs w:val="18"/>
                <w:color w:val="0000FF"/>
                <w:w w:val="88"/>
              </w:rPr>
              <w:t>70</w:t>
            </w:r>
          </w:p>
        </w:tc>
      </w:tr>
    </w:tbl>
    <w:p>
      <w:pPr>
        <w:spacing w:after="0" w:line="3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2. List of Financial Statement Schedules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schedules are omitted because they are not applicable, not required or the required information is shown in the consolidated financial statements or notes thereto.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3. List of Exhibits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exhibits to this report are listed below.</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40" w:type="dxa"/>
            <w:vAlign w:val="bottom"/>
            <w:vMerge w:val="restart"/>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58"/>
        </w:trPr>
        <w:tc>
          <w:tcPr>
            <w:tcW w:w="1340" w:type="dxa"/>
            <w:vAlign w:val="bottom"/>
            <w:vMerge w:val="continue"/>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2"/>
          </w:tcPr>
          <w:p>
            <w:pPr>
              <w:jc w:val="center"/>
              <w:ind w:right="100"/>
              <w:spacing w:after="0" w:line="158" w:lineRule="exact"/>
              <w:rPr>
                <w:sz w:val="20"/>
                <w:szCs w:val="20"/>
                <w:color w:val="auto"/>
              </w:rPr>
            </w:pPr>
            <w:r>
              <w:rPr>
                <w:rFonts w:ascii="Times New Roman" w:cs="Times New Roman" w:eastAsia="Times New Roman" w:hAnsi="Times New Roman"/>
                <w:sz w:val="14"/>
                <w:szCs w:val="14"/>
                <w:b w:val="1"/>
                <w:bCs w:val="1"/>
                <w:color w:val="auto"/>
              </w:rPr>
              <w:t>Filing</w:t>
            </w: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134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20" w:type="dxa"/>
            <w:vAlign w:val="bottom"/>
          </w:tcPr>
          <w:p>
            <w:pPr>
              <w:spacing w:after="0"/>
              <w:rPr>
                <w:sz w:val="17"/>
                <w:szCs w:val="17"/>
                <w:color w:val="auto"/>
              </w:rPr>
            </w:pPr>
          </w:p>
        </w:tc>
        <w:tc>
          <w:tcPr>
            <w:tcW w:w="2700" w:type="dxa"/>
            <w:vAlign w:val="bottom"/>
            <w:gridSpan w:val="13"/>
          </w:tcPr>
          <w:p>
            <w:pPr>
              <w:ind w:left="7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32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3"/>
        </w:trPr>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340" w:type="dxa"/>
            <w:vAlign w:val="bottom"/>
          </w:tcPr>
          <w:p>
            <w:pPr>
              <w:jc w:val="right"/>
              <w:ind w:right="994"/>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3120" w:type="dxa"/>
            <w:vAlign w:val="bottom"/>
            <w:gridSpan w:val="14"/>
          </w:tcPr>
          <w:p>
            <w:pPr>
              <w:spacing w:after="0" w:line="196" w:lineRule="exact"/>
              <w:rPr>
                <w:rFonts w:ascii="Times New Roman" w:cs="Times New Roman" w:eastAsia="Times New Roman" w:hAnsi="Times New Roman"/>
                <w:sz w:val="18"/>
                <w:szCs w:val="18"/>
                <w:color w:val="auto"/>
              </w:rPr>
            </w:pPr>
            <w:hyperlink r:id="rId145">
              <w:r>
                <w:rPr>
                  <w:rFonts w:ascii="Times New Roman" w:cs="Times New Roman" w:eastAsia="Times New Roman" w:hAnsi="Times New Roman"/>
                  <w:sz w:val="18"/>
                  <w:szCs w:val="18"/>
                  <w:color w:val="auto"/>
                </w:rPr>
                <w:t>Amended and Restated Certificate of</w:t>
              </w:r>
            </w:hyperlink>
          </w:p>
        </w:tc>
        <w:tc>
          <w:tcPr>
            <w:tcW w:w="132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46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001-39100</w:t>
            </w:r>
          </w:p>
        </w:tc>
        <w:tc>
          <w:tcPr>
            <w:tcW w:w="120" w:type="dxa"/>
            <w:vAlign w:val="bottom"/>
          </w:tcPr>
          <w:p>
            <w:pPr>
              <w:spacing w:after="0"/>
              <w:rPr>
                <w:sz w:val="17"/>
                <w:szCs w:val="17"/>
                <w:color w:val="auto"/>
              </w:rPr>
            </w:pPr>
          </w:p>
        </w:tc>
        <w:tc>
          <w:tcPr>
            <w:tcW w:w="820" w:type="dxa"/>
            <w:vAlign w:val="bottom"/>
          </w:tcPr>
          <w:p>
            <w:pPr>
              <w:jc w:val="right"/>
              <w:ind w:right="492"/>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20" w:type="dxa"/>
            <w:vAlign w:val="bottom"/>
          </w:tcPr>
          <w:p>
            <w:pPr>
              <w:spacing w:after="0"/>
              <w:rPr>
                <w:sz w:val="17"/>
                <w:szCs w:val="17"/>
                <w:color w:val="auto"/>
              </w:rPr>
            </w:pPr>
          </w:p>
        </w:tc>
        <w:tc>
          <w:tcPr>
            <w:tcW w:w="1460" w:type="dxa"/>
            <w:vAlign w:val="bottom"/>
          </w:tcPr>
          <w:p>
            <w:pPr>
              <w:jc w:val="right"/>
              <w:ind w:right="534"/>
              <w:spacing w:after="0" w:line="196" w:lineRule="exact"/>
              <w:rPr>
                <w:sz w:val="20"/>
                <w:szCs w:val="20"/>
                <w:color w:val="auto"/>
              </w:rPr>
            </w:pPr>
            <w:r>
              <w:rPr>
                <w:rFonts w:ascii="Times New Roman" w:cs="Times New Roman" w:eastAsia="Times New Roman" w:hAnsi="Times New Roman"/>
                <w:sz w:val="18"/>
                <w:szCs w:val="18"/>
                <w:color w:val="auto"/>
                <w:w w:val="99"/>
              </w:rPr>
              <w:t>10/31/2019</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2200" w:type="dxa"/>
            <w:vAlign w:val="bottom"/>
            <w:tcBorders>
              <w:top w:val="single" w:sz="8" w:color="auto"/>
              <w:bottom w:val="single" w:sz="8" w:color="auto"/>
            </w:tcBorders>
            <w:gridSpan w:val="5"/>
          </w:tcPr>
          <w:p>
            <w:pPr>
              <w:spacing w:after="0" w:line="182" w:lineRule="exact"/>
              <w:rPr>
                <w:rFonts w:ascii="Times New Roman" w:cs="Times New Roman" w:eastAsia="Times New Roman" w:hAnsi="Times New Roman"/>
                <w:sz w:val="18"/>
                <w:szCs w:val="18"/>
                <w:color w:val="auto"/>
                <w:w w:val="99"/>
              </w:rPr>
            </w:pPr>
            <w:hyperlink r:id="rId145">
              <w:r>
                <w:rPr>
                  <w:rFonts w:ascii="Times New Roman" w:cs="Times New Roman" w:eastAsia="Times New Roman" w:hAnsi="Times New Roman"/>
                  <w:sz w:val="18"/>
                  <w:szCs w:val="18"/>
                  <w:color w:val="auto"/>
                  <w:w w:val="99"/>
                </w:rPr>
                <w:t>Incorporation of Progyny, Inc.</w:t>
              </w:r>
            </w:hyperlink>
          </w:p>
        </w:tc>
        <w:tc>
          <w:tcPr>
            <w:tcW w:w="480" w:type="dxa"/>
            <w:vAlign w:val="bottom"/>
            <w:tcBorders>
              <w:top w:val="single" w:sz="8" w:color="auto"/>
            </w:tcBorders>
            <w:gridSpan w:val="3"/>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3.2</w:t>
            </w:r>
          </w:p>
        </w:tc>
        <w:tc>
          <w:tcPr>
            <w:tcW w:w="3120" w:type="dxa"/>
            <w:vAlign w:val="bottom"/>
            <w:gridSpan w:val="14"/>
          </w:tcPr>
          <w:p>
            <w:pPr>
              <w:spacing w:after="0"/>
              <w:rPr>
                <w:rFonts w:ascii="Times New Roman" w:cs="Times New Roman" w:eastAsia="Times New Roman" w:hAnsi="Times New Roman"/>
                <w:sz w:val="18"/>
                <w:szCs w:val="18"/>
                <w:color w:val="auto"/>
              </w:rPr>
            </w:pPr>
            <w:hyperlink r:id="rId146">
              <w:r>
                <w:rPr>
                  <w:rFonts w:ascii="Times New Roman" w:cs="Times New Roman" w:eastAsia="Times New Roman" w:hAnsi="Times New Roman"/>
                  <w:sz w:val="18"/>
                  <w:szCs w:val="18"/>
                  <w:color w:val="auto"/>
                </w:rPr>
                <w:t>Second Amended and Restated By-laws</w:t>
              </w:r>
            </w:hyperlink>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10-Q</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001-39100</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3.1</w:t>
            </w:r>
          </w:p>
        </w:tc>
        <w:tc>
          <w:tcPr>
            <w:tcW w:w="120" w:type="dxa"/>
            <w:vAlign w:val="bottom"/>
          </w:tcPr>
          <w:p>
            <w:pPr>
              <w:spacing w:after="0"/>
              <w:rPr>
                <w:sz w:val="20"/>
                <w:szCs w:val="20"/>
                <w:color w:val="auto"/>
              </w:rPr>
            </w:pPr>
          </w:p>
        </w:tc>
        <w:tc>
          <w:tcPr>
            <w:tcW w:w="1460" w:type="dxa"/>
            <w:vAlign w:val="bottom"/>
          </w:tcPr>
          <w:p>
            <w:pPr>
              <w:jc w:val="right"/>
              <w:ind w:right="554"/>
              <w:spacing w:after="0"/>
              <w:rPr>
                <w:sz w:val="20"/>
                <w:szCs w:val="20"/>
                <w:color w:val="auto"/>
              </w:rPr>
            </w:pPr>
            <w:r>
              <w:rPr>
                <w:rFonts w:ascii="Times New Roman" w:cs="Times New Roman" w:eastAsia="Times New Roman" w:hAnsi="Times New Roman"/>
                <w:sz w:val="18"/>
                <w:szCs w:val="18"/>
                <w:color w:val="auto"/>
                <w:w w:val="97"/>
              </w:rPr>
              <w:t>11/12/2024</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1340" w:type="dxa"/>
            <w:vAlign w:val="bottom"/>
          </w:tcPr>
          <w:p>
            <w:pPr>
              <w:spacing w:after="0"/>
              <w:rPr>
                <w:sz w:val="13"/>
                <w:szCs w:val="13"/>
                <w:color w:val="auto"/>
              </w:rPr>
            </w:pPr>
          </w:p>
        </w:tc>
        <w:tc>
          <w:tcPr>
            <w:tcW w:w="1160" w:type="dxa"/>
            <w:vAlign w:val="bottom"/>
            <w:tcBorders>
              <w:bottom w:val="single" w:sz="8" w:color="auto"/>
            </w:tcBorders>
            <w:gridSpan w:val="2"/>
          </w:tcPr>
          <w:p>
            <w:pPr>
              <w:spacing w:after="0" w:line="156" w:lineRule="exact"/>
              <w:rPr>
                <w:rFonts w:ascii="Times New Roman" w:cs="Times New Roman" w:eastAsia="Times New Roman" w:hAnsi="Times New Roman"/>
                <w:sz w:val="18"/>
                <w:szCs w:val="18"/>
                <w:color w:val="auto"/>
                <w:highlight w:val="white"/>
                <w:w w:val="97"/>
              </w:rPr>
            </w:pPr>
            <w:hyperlink r:id="rId146">
              <w:r>
                <w:rPr>
                  <w:rFonts w:ascii="Times New Roman" w:cs="Times New Roman" w:eastAsia="Times New Roman" w:hAnsi="Times New Roman"/>
                  <w:sz w:val="18"/>
                  <w:szCs w:val="18"/>
                  <w:color w:val="auto"/>
                  <w:highlight w:val="white"/>
                  <w:w w:val="97"/>
                </w:rPr>
                <w:t>of Progyny, Inc.</w:t>
              </w:r>
            </w:hyperlink>
          </w:p>
        </w:tc>
        <w:tc>
          <w:tcPr>
            <w:tcW w:w="2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gridSpan w:val="2"/>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gridSpan w:val="2"/>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220" w:type="dxa"/>
            <w:vAlign w:val="bottom"/>
            <w:gridSpan w:val="2"/>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4.1</w:t>
            </w:r>
          </w:p>
        </w:tc>
        <w:tc>
          <w:tcPr>
            <w:tcW w:w="2620" w:type="dxa"/>
            <w:vAlign w:val="bottom"/>
            <w:tcBorders>
              <w:bottom w:val="single" w:sz="8" w:color="auto"/>
            </w:tcBorders>
            <w:gridSpan w:val="7"/>
          </w:tcPr>
          <w:p>
            <w:pPr>
              <w:spacing w:after="0"/>
              <w:rPr>
                <w:rFonts w:ascii="Times New Roman" w:cs="Times New Roman" w:eastAsia="Times New Roman" w:hAnsi="Times New Roman"/>
                <w:sz w:val="18"/>
                <w:szCs w:val="18"/>
                <w:color w:val="auto"/>
                <w:w w:val="99"/>
              </w:rPr>
            </w:pPr>
            <w:hyperlink r:id="rId147">
              <w:r>
                <w:rPr>
                  <w:rFonts w:ascii="Times New Roman" w:cs="Times New Roman" w:eastAsia="Times New Roman" w:hAnsi="Times New Roman"/>
                  <w:sz w:val="18"/>
                  <w:szCs w:val="18"/>
                  <w:color w:val="auto"/>
                  <w:w w:val="99"/>
                </w:rPr>
                <w:t>Form of Common Stock Certificate.</w:t>
              </w:r>
            </w:hyperlink>
          </w:p>
        </w:tc>
        <w:tc>
          <w:tcPr>
            <w:tcW w:w="500" w:type="dxa"/>
            <w:vAlign w:val="bottom"/>
            <w:gridSpan w:val="7"/>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tcPr>
          <w:p>
            <w:pPr>
              <w:spacing w:after="0"/>
              <w:rPr>
                <w:sz w:val="20"/>
                <w:szCs w:val="20"/>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99"/>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4.2</w:t>
            </w:r>
          </w:p>
        </w:tc>
        <w:tc>
          <w:tcPr>
            <w:tcW w:w="2860" w:type="dxa"/>
            <w:vAlign w:val="bottom"/>
            <w:tcBorders>
              <w:bottom w:val="single" w:sz="8" w:color="auto"/>
            </w:tcBorders>
            <w:gridSpan w:val="11"/>
          </w:tcPr>
          <w:p>
            <w:pPr>
              <w:spacing w:after="0"/>
              <w:rPr>
                <w:rFonts w:ascii="Times New Roman" w:cs="Times New Roman" w:eastAsia="Times New Roman" w:hAnsi="Times New Roman"/>
                <w:sz w:val="18"/>
                <w:szCs w:val="18"/>
                <w:color w:val="auto"/>
              </w:rPr>
            </w:pPr>
            <w:hyperlink r:id="rId148">
              <w:r>
                <w:rPr>
                  <w:rFonts w:ascii="Times New Roman" w:cs="Times New Roman" w:eastAsia="Times New Roman" w:hAnsi="Times New Roman"/>
                  <w:sz w:val="18"/>
                  <w:szCs w:val="18"/>
                  <w:color w:val="auto"/>
                </w:rPr>
                <w:t>Form of 2013 Preferred Stock Warrant.</w:t>
              </w:r>
            </w:hyperlink>
          </w:p>
        </w:tc>
        <w:tc>
          <w:tcPr>
            <w:tcW w:w="260" w:type="dxa"/>
            <w:vAlign w:val="bottom"/>
            <w:gridSpan w:val="3"/>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4.2</w:t>
            </w:r>
          </w:p>
        </w:tc>
        <w:tc>
          <w:tcPr>
            <w:tcW w:w="120" w:type="dxa"/>
            <w:vAlign w:val="bottom"/>
          </w:tcPr>
          <w:p>
            <w:pPr>
              <w:spacing w:after="0"/>
              <w:rPr>
                <w:sz w:val="20"/>
                <w:szCs w:val="20"/>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99"/>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4.3</w:t>
            </w:r>
          </w:p>
        </w:tc>
        <w:tc>
          <w:tcPr>
            <w:tcW w:w="2860" w:type="dxa"/>
            <w:vAlign w:val="bottom"/>
            <w:tcBorders>
              <w:bottom w:val="single" w:sz="8" w:color="auto"/>
            </w:tcBorders>
            <w:gridSpan w:val="11"/>
          </w:tcPr>
          <w:p>
            <w:pPr>
              <w:spacing w:after="0"/>
              <w:rPr>
                <w:rFonts w:ascii="Times New Roman" w:cs="Times New Roman" w:eastAsia="Times New Roman" w:hAnsi="Times New Roman"/>
                <w:sz w:val="18"/>
                <w:szCs w:val="18"/>
                <w:color w:val="auto"/>
              </w:rPr>
            </w:pPr>
            <w:hyperlink r:id="rId149">
              <w:r>
                <w:rPr>
                  <w:rFonts w:ascii="Times New Roman" w:cs="Times New Roman" w:eastAsia="Times New Roman" w:hAnsi="Times New Roman"/>
                  <w:sz w:val="18"/>
                  <w:szCs w:val="18"/>
                  <w:color w:val="auto"/>
                </w:rPr>
                <w:t>Form of 2014 Preferred Stock Warrant.</w:t>
              </w:r>
            </w:hyperlink>
          </w:p>
        </w:tc>
        <w:tc>
          <w:tcPr>
            <w:tcW w:w="260" w:type="dxa"/>
            <w:vAlign w:val="bottom"/>
            <w:gridSpan w:val="3"/>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4.3</w:t>
            </w:r>
          </w:p>
        </w:tc>
        <w:tc>
          <w:tcPr>
            <w:tcW w:w="120" w:type="dxa"/>
            <w:vAlign w:val="bottom"/>
          </w:tcPr>
          <w:p>
            <w:pPr>
              <w:spacing w:after="0"/>
              <w:rPr>
                <w:sz w:val="20"/>
                <w:szCs w:val="20"/>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99"/>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4.4</w:t>
            </w:r>
          </w:p>
        </w:tc>
        <w:tc>
          <w:tcPr>
            <w:tcW w:w="2840" w:type="dxa"/>
            <w:vAlign w:val="bottom"/>
            <w:tcBorders>
              <w:bottom w:val="single" w:sz="8" w:color="auto"/>
            </w:tcBorders>
            <w:gridSpan w:val="10"/>
          </w:tcPr>
          <w:p>
            <w:pPr>
              <w:spacing w:after="0"/>
              <w:rPr>
                <w:rFonts w:ascii="Times New Roman" w:cs="Times New Roman" w:eastAsia="Times New Roman" w:hAnsi="Times New Roman"/>
                <w:sz w:val="18"/>
                <w:szCs w:val="18"/>
                <w:color w:val="auto"/>
                <w:w w:val="99"/>
              </w:rPr>
            </w:pPr>
            <w:hyperlink r:id="rId150">
              <w:r>
                <w:rPr>
                  <w:rFonts w:ascii="Times New Roman" w:cs="Times New Roman" w:eastAsia="Times New Roman" w:hAnsi="Times New Roman"/>
                  <w:sz w:val="18"/>
                  <w:szCs w:val="18"/>
                  <w:color w:val="auto"/>
                  <w:w w:val="99"/>
                </w:rPr>
                <w:t>Form of 2015 Preferred Stock Warrant.</w:t>
              </w:r>
            </w:hyperlink>
          </w:p>
        </w:tc>
        <w:tc>
          <w:tcPr>
            <w:tcW w:w="280" w:type="dxa"/>
            <w:vAlign w:val="bottom"/>
            <w:gridSpan w:val="4"/>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4.4</w:t>
            </w:r>
          </w:p>
        </w:tc>
        <w:tc>
          <w:tcPr>
            <w:tcW w:w="120" w:type="dxa"/>
            <w:vAlign w:val="bottom"/>
          </w:tcPr>
          <w:p>
            <w:pPr>
              <w:spacing w:after="0"/>
              <w:rPr>
                <w:sz w:val="20"/>
                <w:szCs w:val="20"/>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99"/>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4.5</w:t>
            </w:r>
          </w:p>
        </w:tc>
        <w:tc>
          <w:tcPr>
            <w:tcW w:w="2600" w:type="dxa"/>
            <w:vAlign w:val="bottom"/>
            <w:tcBorders>
              <w:bottom w:val="single" w:sz="8" w:color="auto"/>
            </w:tcBorders>
            <w:gridSpan w:val="6"/>
          </w:tcPr>
          <w:p>
            <w:pPr>
              <w:spacing w:after="0"/>
              <w:rPr>
                <w:rFonts w:ascii="Times New Roman" w:cs="Times New Roman" w:eastAsia="Times New Roman" w:hAnsi="Times New Roman"/>
                <w:sz w:val="18"/>
                <w:szCs w:val="18"/>
                <w:color w:val="auto"/>
                <w:w w:val="99"/>
              </w:rPr>
            </w:pPr>
            <w:hyperlink r:id="rId151">
              <w:r>
                <w:rPr>
                  <w:rFonts w:ascii="Times New Roman" w:cs="Times New Roman" w:eastAsia="Times New Roman" w:hAnsi="Times New Roman"/>
                  <w:sz w:val="18"/>
                  <w:szCs w:val="18"/>
                  <w:color w:val="auto"/>
                  <w:w w:val="99"/>
                </w:rPr>
                <w:t>Warrant to Purchase Stock issued to</w:t>
              </w:r>
            </w:hyperlink>
          </w:p>
        </w:tc>
        <w:tc>
          <w:tcPr>
            <w:tcW w:w="520" w:type="dxa"/>
            <w:vAlign w:val="bottom"/>
            <w:gridSpan w:val="8"/>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333-233965</w:t>
            </w:r>
          </w:p>
        </w:tc>
        <w:tc>
          <w:tcPr>
            <w:tcW w:w="120" w:type="dxa"/>
            <w:vAlign w:val="bottom"/>
          </w:tcPr>
          <w:p>
            <w:pPr>
              <w:spacing w:after="0"/>
              <w:rPr>
                <w:sz w:val="20"/>
                <w:szCs w:val="20"/>
                <w:color w:val="auto"/>
              </w:rPr>
            </w:pPr>
          </w:p>
        </w:tc>
        <w:tc>
          <w:tcPr>
            <w:tcW w:w="820" w:type="dxa"/>
            <w:vAlign w:val="bottom"/>
          </w:tcPr>
          <w:p>
            <w:pPr>
              <w:jc w:val="right"/>
              <w:ind w:right="492"/>
              <w:spacing w:after="0"/>
              <w:rPr>
                <w:sz w:val="20"/>
                <w:szCs w:val="20"/>
                <w:color w:val="auto"/>
              </w:rPr>
            </w:pPr>
            <w:r>
              <w:rPr>
                <w:rFonts w:ascii="Times New Roman" w:cs="Times New Roman" w:eastAsia="Times New Roman" w:hAnsi="Times New Roman"/>
                <w:sz w:val="18"/>
                <w:szCs w:val="18"/>
                <w:color w:val="auto"/>
                <w:w w:val="97"/>
              </w:rPr>
              <w:t>4.5</w:t>
            </w:r>
          </w:p>
        </w:tc>
        <w:tc>
          <w:tcPr>
            <w:tcW w:w="120" w:type="dxa"/>
            <w:vAlign w:val="bottom"/>
          </w:tcPr>
          <w:p>
            <w:pPr>
              <w:spacing w:after="0"/>
              <w:rPr>
                <w:sz w:val="20"/>
                <w:szCs w:val="20"/>
                <w:color w:val="auto"/>
              </w:rPr>
            </w:pPr>
          </w:p>
        </w:tc>
        <w:tc>
          <w:tcPr>
            <w:tcW w:w="146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99"/>
              </w:rPr>
              <w:t>10/15/2019</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340" w:type="dxa"/>
            <w:vAlign w:val="bottom"/>
          </w:tcPr>
          <w:p>
            <w:pPr>
              <w:spacing w:after="0"/>
              <w:rPr>
                <w:sz w:val="15"/>
                <w:szCs w:val="15"/>
                <w:color w:val="auto"/>
              </w:rPr>
            </w:pPr>
          </w:p>
        </w:tc>
        <w:tc>
          <w:tcPr>
            <w:tcW w:w="3120" w:type="dxa"/>
            <w:vAlign w:val="bottom"/>
            <w:gridSpan w:val="14"/>
          </w:tcPr>
          <w:p>
            <w:pPr>
              <w:spacing w:after="0" w:line="182" w:lineRule="exact"/>
              <w:rPr>
                <w:rFonts w:ascii="Times New Roman" w:cs="Times New Roman" w:eastAsia="Times New Roman" w:hAnsi="Times New Roman"/>
                <w:sz w:val="18"/>
                <w:szCs w:val="18"/>
                <w:color w:val="auto"/>
              </w:rPr>
            </w:pPr>
            <w:hyperlink r:id="rId151">
              <w:r>
                <w:rPr>
                  <w:rFonts w:ascii="Times New Roman" w:cs="Times New Roman" w:eastAsia="Times New Roman" w:hAnsi="Times New Roman"/>
                  <w:sz w:val="18"/>
                  <w:szCs w:val="18"/>
                  <w:color w:val="auto"/>
                </w:rPr>
                <w:t>Silicon Valley Bank dated October 9,</w:t>
              </w:r>
            </w:hyperlink>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rFonts w:ascii="Times New Roman" w:cs="Times New Roman" w:eastAsia="Times New Roman" w:hAnsi="Times New Roman"/>
                <w:sz w:val="18"/>
                <w:szCs w:val="18"/>
                <w:color w:val="auto"/>
                <w:w w:val="98"/>
              </w:rPr>
            </w:pPr>
            <w:hyperlink r:id="rId151">
              <w:r>
                <w:rPr>
                  <w:rFonts w:ascii="Times New Roman" w:cs="Times New Roman" w:eastAsia="Times New Roman" w:hAnsi="Times New Roman"/>
                  <w:sz w:val="18"/>
                  <w:szCs w:val="18"/>
                  <w:color w:val="auto"/>
                  <w:w w:val="98"/>
                </w:rPr>
                <w:t>2013.</w:t>
              </w:r>
            </w:hyperlink>
          </w:p>
        </w:tc>
        <w:tc>
          <w:tcPr>
            <w:tcW w:w="7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34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rPr>
              <w:t>4.6</w:t>
            </w:r>
          </w:p>
        </w:tc>
        <w:tc>
          <w:tcPr>
            <w:tcW w:w="312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Description of Capital Stock.</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37" w:right="339" w:bottom="144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53">
              <w:r>
                <w:rPr>
                  <w:rFonts w:ascii="Times New Roman" w:cs="Times New Roman" w:eastAsia="Times New Roman" w:hAnsi="Times New Roman"/>
                  <w:sz w:val="18"/>
                  <w:szCs w:val="18"/>
                  <w:color w:val="auto"/>
                </w:rPr>
                <w:t>Progyny, Inc. 2008 Stock Plan, as</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183"/>
        </w:trPr>
        <w:tc>
          <w:tcPr>
            <w:tcW w:w="1340" w:type="dxa"/>
            <w:vAlign w:val="bottom"/>
          </w:tcPr>
          <w:p>
            <w:pPr>
              <w:spacing w:after="0"/>
              <w:rPr>
                <w:sz w:val="15"/>
                <w:szCs w:val="15"/>
                <w:color w:val="auto"/>
              </w:rPr>
            </w:pPr>
          </w:p>
        </w:tc>
        <w:tc>
          <w:tcPr>
            <w:tcW w:w="2440" w:type="dxa"/>
            <w:vAlign w:val="bottom"/>
            <w:tcBorders>
              <w:top w:val="single" w:sz="8" w:color="auto"/>
              <w:bottom w:val="single" w:sz="8" w:color="auto"/>
            </w:tcBorders>
            <w:gridSpan w:val="9"/>
          </w:tcPr>
          <w:p>
            <w:pPr>
              <w:spacing w:after="0" w:line="182" w:lineRule="exact"/>
              <w:rPr>
                <w:rFonts w:ascii="Times New Roman" w:cs="Times New Roman" w:eastAsia="Times New Roman" w:hAnsi="Times New Roman"/>
                <w:sz w:val="18"/>
                <w:szCs w:val="18"/>
                <w:color w:val="auto"/>
                <w:w w:val="95"/>
              </w:rPr>
            </w:pPr>
            <w:hyperlink r:id="rId153">
              <w:r>
                <w:rPr>
                  <w:rFonts w:ascii="Times New Roman" w:cs="Times New Roman" w:eastAsia="Times New Roman" w:hAnsi="Times New Roman"/>
                  <w:sz w:val="18"/>
                  <w:szCs w:val="18"/>
                  <w:color w:val="auto"/>
                  <w:w w:val="95"/>
                </w:rPr>
                <w:t>amended, and forms of agreements</w:t>
              </w:r>
            </w:hyperlink>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820" w:type="dxa"/>
            <w:vAlign w:val="bottom"/>
            <w:tcBorders>
              <w:bottom w:val="single" w:sz="8" w:color="auto"/>
            </w:tcBorders>
            <w:gridSpan w:val="2"/>
          </w:tcPr>
          <w:p>
            <w:pPr>
              <w:spacing w:after="0" w:line="196" w:lineRule="exact"/>
              <w:rPr>
                <w:rFonts w:ascii="Times New Roman" w:cs="Times New Roman" w:eastAsia="Times New Roman" w:hAnsi="Times New Roman"/>
                <w:sz w:val="18"/>
                <w:szCs w:val="18"/>
                <w:color w:val="auto"/>
                <w:w w:val="98"/>
              </w:rPr>
            </w:pPr>
            <w:hyperlink r:id="rId153">
              <w:r>
                <w:rPr>
                  <w:rFonts w:ascii="Times New Roman" w:cs="Times New Roman" w:eastAsia="Times New Roman" w:hAnsi="Times New Roman"/>
                  <w:sz w:val="18"/>
                  <w:szCs w:val="18"/>
                  <w:color w:val="auto"/>
                  <w:w w:val="98"/>
                </w:rPr>
                <w:t>thereunder.</w:t>
              </w:r>
            </w:hyperlink>
          </w:p>
        </w:tc>
        <w:tc>
          <w:tcPr>
            <w:tcW w:w="2240" w:type="dxa"/>
            <w:vAlign w:val="bottom"/>
            <w:gridSpan w:val="25"/>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Progyny, Inc. 2017 Equity Incentive Plan</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S-8</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99.2</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10/25/2019</w:t>
            </w:r>
          </w:p>
        </w:tc>
      </w:tr>
      <w:tr>
        <w:trPr>
          <w:trHeight w:val="183"/>
        </w:trPr>
        <w:tc>
          <w:tcPr>
            <w:tcW w:w="1340" w:type="dxa"/>
            <w:vAlign w:val="bottom"/>
          </w:tcPr>
          <w:p>
            <w:pPr>
              <w:spacing w:after="0"/>
              <w:rPr>
                <w:sz w:val="15"/>
                <w:szCs w:val="15"/>
                <w:color w:val="auto"/>
              </w:rPr>
            </w:pPr>
          </w:p>
        </w:tc>
        <w:tc>
          <w:tcPr>
            <w:tcW w:w="3000" w:type="dxa"/>
            <w:vAlign w:val="bottom"/>
            <w:tcBorders>
              <w:top w:val="single" w:sz="8" w:color="auto"/>
            </w:tcBorders>
            <w:gridSpan w:val="26"/>
          </w:tcPr>
          <w:p>
            <w:pPr>
              <w:spacing w:after="0" w:line="182" w:lineRule="exact"/>
              <w:rPr>
                <w:rFonts w:ascii="Times New Roman" w:cs="Times New Roman" w:eastAsia="Times New Roman" w:hAnsi="Times New Roman"/>
                <w:sz w:val="18"/>
                <w:szCs w:val="18"/>
                <w:color w:val="auto"/>
              </w:rPr>
            </w:pPr>
            <w:hyperlink r:id="rId154">
              <w:r>
                <w:rPr>
                  <w:rFonts w:ascii="Times New Roman" w:cs="Times New Roman" w:eastAsia="Times New Roman" w:hAnsi="Times New Roman"/>
                  <w:sz w:val="18"/>
                  <w:szCs w:val="18"/>
                  <w:color w:val="auto"/>
                </w:rPr>
                <w:t>and forms of agreements thereunder.</w:t>
              </w:r>
            </w:hyperlink>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55">
              <w:r>
                <w:rPr>
                  <w:rFonts w:ascii="Times New Roman" w:cs="Times New Roman" w:eastAsia="Times New Roman" w:hAnsi="Times New Roman"/>
                  <w:sz w:val="18"/>
                  <w:szCs w:val="18"/>
                  <w:color w:val="auto"/>
                </w:rPr>
                <w:t>Amendment No. 1 to the Progyny, Inc.</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3/10/2020</w:t>
            </w:r>
          </w:p>
        </w:tc>
      </w:tr>
      <w:tr>
        <w:trPr>
          <w:trHeight w:val="183"/>
        </w:trPr>
        <w:tc>
          <w:tcPr>
            <w:tcW w:w="1340" w:type="dxa"/>
            <w:vAlign w:val="bottom"/>
          </w:tcPr>
          <w:p>
            <w:pPr>
              <w:spacing w:after="0"/>
              <w:rPr>
                <w:sz w:val="15"/>
                <w:szCs w:val="15"/>
                <w:color w:val="auto"/>
              </w:rPr>
            </w:pPr>
          </w:p>
        </w:tc>
        <w:tc>
          <w:tcPr>
            <w:tcW w:w="202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9"/>
              </w:rPr>
            </w:pPr>
            <w:hyperlink r:id="rId155">
              <w:r>
                <w:rPr>
                  <w:rFonts w:ascii="Times New Roman" w:cs="Times New Roman" w:eastAsia="Times New Roman" w:hAnsi="Times New Roman"/>
                  <w:sz w:val="18"/>
                  <w:szCs w:val="18"/>
                  <w:color w:val="auto"/>
                  <w:w w:val="99"/>
                </w:rPr>
                <w:t>2017 Equity Incentive Plan.</w:t>
              </w:r>
            </w:hyperlink>
          </w:p>
        </w:tc>
        <w:tc>
          <w:tcPr>
            <w:tcW w:w="780" w:type="dxa"/>
            <w:vAlign w:val="bottom"/>
            <w:tcBorders>
              <w:top w:val="single" w:sz="8" w:color="auto"/>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Progyny, Inc. 2019 Equity Incentive Plan</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10/15/2019</w:t>
            </w:r>
          </w:p>
        </w:tc>
      </w:tr>
      <w:tr>
        <w:trPr>
          <w:trHeight w:val="183"/>
        </w:trPr>
        <w:tc>
          <w:tcPr>
            <w:tcW w:w="1340" w:type="dxa"/>
            <w:vAlign w:val="bottom"/>
          </w:tcPr>
          <w:p>
            <w:pPr>
              <w:spacing w:after="0"/>
              <w:rPr>
                <w:sz w:val="15"/>
                <w:szCs w:val="15"/>
                <w:color w:val="auto"/>
              </w:rPr>
            </w:pPr>
          </w:p>
        </w:tc>
        <w:tc>
          <w:tcPr>
            <w:tcW w:w="3000" w:type="dxa"/>
            <w:vAlign w:val="bottom"/>
            <w:tcBorders>
              <w:top w:val="single" w:sz="8" w:color="auto"/>
            </w:tcBorders>
            <w:gridSpan w:val="26"/>
          </w:tcPr>
          <w:p>
            <w:pPr>
              <w:spacing w:after="0" w:line="182" w:lineRule="exact"/>
              <w:rPr>
                <w:rFonts w:ascii="Times New Roman" w:cs="Times New Roman" w:eastAsia="Times New Roman" w:hAnsi="Times New Roman"/>
                <w:sz w:val="18"/>
                <w:szCs w:val="18"/>
                <w:color w:val="auto"/>
              </w:rPr>
            </w:pPr>
            <w:hyperlink r:id="rId156">
              <w:r>
                <w:rPr>
                  <w:rFonts w:ascii="Times New Roman" w:cs="Times New Roman" w:eastAsia="Times New Roman" w:hAnsi="Times New Roman"/>
                  <w:sz w:val="18"/>
                  <w:szCs w:val="18"/>
                  <w:color w:val="auto"/>
                </w:rPr>
                <w:t>and forms of agreements thereunder.</w:t>
              </w:r>
            </w:hyperlink>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57">
              <w:r>
                <w:rPr>
                  <w:rFonts w:ascii="Times New Roman" w:cs="Times New Roman" w:eastAsia="Times New Roman" w:hAnsi="Times New Roman"/>
                  <w:sz w:val="18"/>
                  <w:szCs w:val="18"/>
                  <w:color w:val="auto"/>
                </w:rPr>
                <w:t>Amendment No. 1 to the Progyny, Inc.</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3/10/2020</w:t>
            </w:r>
          </w:p>
        </w:tc>
      </w:tr>
      <w:tr>
        <w:trPr>
          <w:trHeight w:val="183"/>
        </w:trPr>
        <w:tc>
          <w:tcPr>
            <w:tcW w:w="1340" w:type="dxa"/>
            <w:vAlign w:val="bottom"/>
          </w:tcPr>
          <w:p>
            <w:pPr>
              <w:spacing w:after="0"/>
              <w:rPr>
                <w:sz w:val="15"/>
                <w:szCs w:val="15"/>
                <w:color w:val="auto"/>
              </w:rPr>
            </w:pPr>
          </w:p>
        </w:tc>
        <w:tc>
          <w:tcPr>
            <w:tcW w:w="2020" w:type="dxa"/>
            <w:vAlign w:val="bottom"/>
            <w:tcBorders>
              <w:top w:val="single" w:sz="8" w:color="auto"/>
              <w:bottom w:val="single" w:sz="8" w:color="auto"/>
            </w:tcBorders>
            <w:gridSpan w:val="7"/>
          </w:tcPr>
          <w:p>
            <w:pPr>
              <w:spacing w:after="0" w:line="182" w:lineRule="exact"/>
              <w:rPr>
                <w:rFonts w:ascii="Times New Roman" w:cs="Times New Roman" w:eastAsia="Times New Roman" w:hAnsi="Times New Roman"/>
                <w:sz w:val="18"/>
                <w:szCs w:val="18"/>
                <w:color w:val="auto"/>
                <w:w w:val="99"/>
              </w:rPr>
            </w:pPr>
            <w:hyperlink r:id="rId157">
              <w:r>
                <w:rPr>
                  <w:rFonts w:ascii="Times New Roman" w:cs="Times New Roman" w:eastAsia="Times New Roman" w:hAnsi="Times New Roman"/>
                  <w:sz w:val="18"/>
                  <w:szCs w:val="18"/>
                  <w:color w:val="auto"/>
                  <w:w w:val="99"/>
                </w:rPr>
                <w:t>2019 Equity Incentive Plan.</w:t>
              </w:r>
            </w:hyperlink>
          </w:p>
        </w:tc>
        <w:tc>
          <w:tcPr>
            <w:tcW w:w="780" w:type="dxa"/>
            <w:vAlign w:val="bottom"/>
            <w:tcBorders>
              <w:top w:val="single" w:sz="8" w:color="auto"/>
            </w:tcBorders>
            <w:gridSpan w:val="13"/>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Progyny, Inc. 2019 Employee Stock</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S-1/A</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10/15/2019</w:t>
            </w:r>
          </w:p>
        </w:tc>
      </w:tr>
      <w:tr>
        <w:trPr>
          <w:trHeight w:val="183"/>
        </w:trPr>
        <w:tc>
          <w:tcPr>
            <w:tcW w:w="1340" w:type="dxa"/>
            <w:vAlign w:val="bottom"/>
          </w:tcPr>
          <w:p>
            <w:pPr>
              <w:spacing w:after="0"/>
              <w:rPr>
                <w:sz w:val="15"/>
                <w:szCs w:val="15"/>
                <w:color w:val="auto"/>
              </w:rPr>
            </w:pPr>
          </w:p>
        </w:tc>
        <w:tc>
          <w:tcPr>
            <w:tcW w:w="2640" w:type="dxa"/>
            <w:vAlign w:val="bottom"/>
            <w:tcBorders>
              <w:top w:val="single" w:sz="8" w:color="auto"/>
            </w:tcBorders>
            <w:gridSpan w:val="13"/>
          </w:tcPr>
          <w:p>
            <w:pPr>
              <w:spacing w:after="0" w:line="182" w:lineRule="exact"/>
              <w:rPr>
                <w:rFonts w:ascii="Times New Roman" w:cs="Times New Roman" w:eastAsia="Times New Roman" w:hAnsi="Times New Roman"/>
                <w:sz w:val="18"/>
                <w:szCs w:val="18"/>
                <w:color w:val="auto"/>
              </w:rPr>
            </w:pPr>
            <w:hyperlink r:id="rId158">
              <w:r>
                <w:rPr>
                  <w:rFonts w:ascii="Times New Roman" w:cs="Times New Roman" w:eastAsia="Times New Roman" w:hAnsi="Times New Roman"/>
                  <w:sz w:val="18"/>
                  <w:szCs w:val="18"/>
                  <w:color w:val="auto"/>
                </w:rPr>
                <w:t>Purchase Plan.</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50"/>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2680" w:type="dxa"/>
            <w:vAlign w:val="bottom"/>
            <w:tcBorders>
              <w:bottom w:val="single" w:sz="8" w:color="auto"/>
            </w:tcBorders>
            <w:gridSpan w:val="15"/>
          </w:tcPr>
          <w:p>
            <w:pPr>
              <w:spacing w:after="0"/>
              <w:rPr>
                <w:rFonts w:ascii="Times New Roman" w:cs="Times New Roman" w:eastAsia="Times New Roman" w:hAnsi="Times New Roman"/>
                <w:sz w:val="18"/>
                <w:szCs w:val="18"/>
                <w:color w:val="auto"/>
                <w:w w:val="99"/>
              </w:rPr>
            </w:pPr>
            <w:hyperlink r:id="rId159">
              <w:r>
                <w:rPr>
                  <w:rFonts w:ascii="Times New Roman" w:cs="Times New Roman" w:eastAsia="Times New Roman" w:hAnsi="Times New Roman"/>
                  <w:sz w:val="18"/>
                  <w:szCs w:val="18"/>
                  <w:color w:val="auto"/>
                  <w:w w:val="99"/>
                </w:rPr>
                <w:t>Form of Indemnification Agreement.</w:t>
              </w:r>
            </w:hyperlink>
          </w:p>
        </w:tc>
        <w:tc>
          <w:tcPr>
            <w:tcW w:w="380" w:type="dxa"/>
            <w:vAlign w:val="bottom"/>
            <w:gridSpan w:val="12"/>
          </w:tcPr>
          <w:p>
            <w:pPr>
              <w:spacing w:after="0"/>
              <w:rPr>
                <w:sz w:val="21"/>
                <w:szCs w:val="21"/>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23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266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160">
              <w:r>
                <w:rPr>
                  <w:rFonts w:ascii="Times New Roman" w:cs="Times New Roman" w:eastAsia="Times New Roman" w:hAnsi="Times New Roman"/>
                  <w:sz w:val="18"/>
                  <w:szCs w:val="18"/>
                  <w:color w:val="auto"/>
                  <w:w w:val="99"/>
                </w:rPr>
                <w:t>Amended and Restated Employment</w:t>
              </w:r>
            </w:hyperlink>
          </w:p>
        </w:tc>
        <w:tc>
          <w:tcPr>
            <w:tcW w:w="400" w:type="dxa"/>
            <w:vAlign w:val="bottom"/>
            <w:gridSpan w:val="13"/>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5/6/2022</w:t>
            </w:r>
          </w:p>
        </w:tc>
      </w:tr>
      <w:tr>
        <w:trPr>
          <w:trHeight w:val="183"/>
        </w:trPr>
        <w:tc>
          <w:tcPr>
            <w:tcW w:w="1340" w:type="dxa"/>
            <w:vAlign w:val="bottom"/>
          </w:tcPr>
          <w:p>
            <w:pPr>
              <w:spacing w:after="0"/>
              <w:rPr>
                <w:sz w:val="15"/>
                <w:szCs w:val="15"/>
                <w:color w:val="auto"/>
              </w:rPr>
            </w:pPr>
          </w:p>
        </w:tc>
        <w:tc>
          <w:tcPr>
            <w:tcW w:w="3060" w:type="dxa"/>
            <w:vAlign w:val="bottom"/>
            <w:gridSpan w:val="27"/>
          </w:tcPr>
          <w:p>
            <w:pPr>
              <w:spacing w:after="0" w:line="182" w:lineRule="exact"/>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Agreement between Progyny, Inc. and</w:t>
              </w:r>
            </w:hyperlink>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760" w:type="dxa"/>
            <w:vAlign w:val="bottom"/>
            <w:tcBorders>
              <w:top w:val="single" w:sz="8" w:color="auto"/>
            </w:tcBorders>
            <w:gridSpan w:val="18"/>
          </w:tcPr>
          <w:p>
            <w:pPr>
              <w:spacing w:after="0" w:line="196" w:lineRule="exact"/>
              <w:rPr>
                <w:rFonts w:ascii="Times New Roman" w:cs="Times New Roman" w:eastAsia="Times New Roman" w:hAnsi="Times New Roman"/>
                <w:sz w:val="18"/>
                <w:szCs w:val="18"/>
                <w:color w:val="auto"/>
              </w:rPr>
            </w:pPr>
            <w:hyperlink r:id="rId160">
              <w:r>
                <w:rPr>
                  <w:rFonts w:ascii="Times New Roman" w:cs="Times New Roman" w:eastAsia="Times New Roman" w:hAnsi="Times New Roman"/>
                  <w:sz w:val="18"/>
                  <w:szCs w:val="18"/>
                  <w:color w:val="auto"/>
                </w:rPr>
                <w:t>David Schlanger, effective January 1,</w:t>
              </w:r>
            </w:hyperlink>
          </w:p>
        </w:tc>
        <w:tc>
          <w:tcPr>
            <w:tcW w:w="3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183"/>
        </w:trPr>
        <w:tc>
          <w:tcPr>
            <w:tcW w:w="1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line="182" w:lineRule="exact"/>
              <w:rPr>
                <w:rFonts w:ascii="Times New Roman" w:cs="Times New Roman" w:eastAsia="Times New Roman" w:hAnsi="Times New Roman"/>
                <w:sz w:val="18"/>
                <w:szCs w:val="18"/>
                <w:color w:val="auto"/>
                <w:w w:val="98"/>
              </w:rPr>
            </w:pPr>
            <w:hyperlink r:id="rId160">
              <w:r>
                <w:rPr>
                  <w:rFonts w:ascii="Times New Roman" w:cs="Times New Roman" w:eastAsia="Times New Roman" w:hAnsi="Times New Roman"/>
                  <w:sz w:val="18"/>
                  <w:szCs w:val="18"/>
                  <w:color w:val="auto"/>
                  <w:w w:val="98"/>
                </w:rPr>
                <w:t>2022.</w:t>
              </w:r>
            </w:hyperlink>
          </w:p>
        </w:tc>
        <w:tc>
          <w:tcPr>
            <w:tcW w:w="4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3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266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161">
              <w:r>
                <w:rPr>
                  <w:rFonts w:ascii="Times New Roman" w:cs="Times New Roman" w:eastAsia="Times New Roman" w:hAnsi="Times New Roman"/>
                  <w:sz w:val="18"/>
                  <w:szCs w:val="18"/>
                  <w:color w:val="auto"/>
                  <w:w w:val="99"/>
                </w:rPr>
                <w:t>Amended and Restated Employment</w:t>
              </w:r>
            </w:hyperlink>
          </w:p>
        </w:tc>
        <w:tc>
          <w:tcPr>
            <w:tcW w:w="400" w:type="dxa"/>
            <w:vAlign w:val="bottom"/>
            <w:gridSpan w:val="13"/>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5/6/2022</w:t>
            </w:r>
          </w:p>
        </w:tc>
      </w:tr>
      <w:tr>
        <w:trPr>
          <w:trHeight w:val="183"/>
        </w:trPr>
        <w:tc>
          <w:tcPr>
            <w:tcW w:w="1340" w:type="dxa"/>
            <w:vAlign w:val="bottom"/>
          </w:tcPr>
          <w:p>
            <w:pPr>
              <w:spacing w:after="0"/>
              <w:rPr>
                <w:sz w:val="15"/>
                <w:szCs w:val="15"/>
                <w:color w:val="auto"/>
              </w:rPr>
            </w:pPr>
          </w:p>
        </w:tc>
        <w:tc>
          <w:tcPr>
            <w:tcW w:w="2780" w:type="dxa"/>
            <w:vAlign w:val="bottom"/>
            <w:tcBorders>
              <w:bottom w:val="single" w:sz="8" w:color="auto"/>
            </w:tcBorders>
            <w:gridSpan w:val="19"/>
          </w:tcPr>
          <w:p>
            <w:pPr>
              <w:spacing w:after="0" w:line="182" w:lineRule="exact"/>
              <w:rPr>
                <w:rFonts w:ascii="Times New Roman" w:cs="Times New Roman" w:eastAsia="Times New Roman" w:hAnsi="Times New Roman"/>
                <w:sz w:val="18"/>
                <w:szCs w:val="18"/>
                <w:color w:val="auto"/>
                <w:w w:val="99"/>
              </w:rPr>
            </w:pPr>
            <w:hyperlink r:id="rId161">
              <w:r>
                <w:rPr>
                  <w:rFonts w:ascii="Times New Roman" w:cs="Times New Roman" w:eastAsia="Times New Roman" w:hAnsi="Times New Roman"/>
                  <w:sz w:val="18"/>
                  <w:szCs w:val="18"/>
                  <w:color w:val="auto"/>
                  <w:w w:val="99"/>
                </w:rPr>
                <w:t>Agreement between Progyny, Inc. and</w:t>
              </w:r>
            </w:hyperlink>
          </w:p>
        </w:tc>
        <w:tc>
          <w:tcPr>
            <w:tcW w:w="28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980" w:type="dxa"/>
            <w:vAlign w:val="bottom"/>
            <w:tcBorders>
              <w:bottom w:val="single" w:sz="8" w:color="auto"/>
            </w:tcBorders>
            <w:gridSpan w:val="25"/>
          </w:tcPr>
          <w:p>
            <w:pPr>
              <w:spacing w:after="0" w:line="196" w:lineRule="exact"/>
              <w:rPr>
                <w:rFonts w:ascii="Times New Roman" w:cs="Times New Roman" w:eastAsia="Times New Roman" w:hAnsi="Times New Roman"/>
                <w:sz w:val="18"/>
                <w:szCs w:val="18"/>
                <w:color w:val="auto"/>
                <w:w w:val="99"/>
              </w:rPr>
            </w:pPr>
            <w:hyperlink r:id="rId161">
              <w:r>
                <w:rPr>
                  <w:rFonts w:ascii="Times New Roman" w:cs="Times New Roman" w:eastAsia="Times New Roman" w:hAnsi="Times New Roman"/>
                  <w:sz w:val="18"/>
                  <w:szCs w:val="18"/>
                  <w:color w:val="auto"/>
                  <w:w w:val="99"/>
                </w:rPr>
                <w:t>Peter Anevski, effective January 1, 2022.</w:t>
              </w:r>
            </w:hyperlink>
          </w:p>
        </w:tc>
        <w:tc>
          <w:tcPr>
            <w:tcW w:w="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266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162">
              <w:r>
                <w:rPr>
                  <w:rFonts w:ascii="Times New Roman" w:cs="Times New Roman" w:eastAsia="Times New Roman" w:hAnsi="Times New Roman"/>
                  <w:sz w:val="18"/>
                  <w:szCs w:val="18"/>
                  <w:color w:val="auto"/>
                  <w:w w:val="99"/>
                </w:rPr>
                <w:t>Amended and Restated Employment</w:t>
              </w:r>
            </w:hyperlink>
          </w:p>
        </w:tc>
        <w:tc>
          <w:tcPr>
            <w:tcW w:w="400" w:type="dxa"/>
            <w:vAlign w:val="bottom"/>
            <w:gridSpan w:val="13"/>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8/5/2022</w:t>
            </w:r>
          </w:p>
        </w:tc>
      </w:tr>
      <w:tr>
        <w:trPr>
          <w:trHeight w:val="183"/>
        </w:trPr>
        <w:tc>
          <w:tcPr>
            <w:tcW w:w="1340" w:type="dxa"/>
            <w:vAlign w:val="bottom"/>
          </w:tcPr>
          <w:p>
            <w:pPr>
              <w:spacing w:after="0"/>
              <w:rPr>
                <w:sz w:val="15"/>
                <w:szCs w:val="15"/>
                <w:color w:val="auto"/>
              </w:rPr>
            </w:pPr>
          </w:p>
        </w:tc>
        <w:tc>
          <w:tcPr>
            <w:tcW w:w="2780" w:type="dxa"/>
            <w:vAlign w:val="bottom"/>
            <w:tcBorders>
              <w:bottom w:val="single" w:sz="8" w:color="auto"/>
            </w:tcBorders>
            <w:gridSpan w:val="19"/>
          </w:tcPr>
          <w:p>
            <w:pPr>
              <w:spacing w:after="0" w:line="182" w:lineRule="exact"/>
              <w:rPr>
                <w:rFonts w:ascii="Times New Roman" w:cs="Times New Roman" w:eastAsia="Times New Roman" w:hAnsi="Times New Roman"/>
                <w:sz w:val="18"/>
                <w:szCs w:val="18"/>
                <w:color w:val="auto"/>
                <w:w w:val="99"/>
              </w:rPr>
            </w:pPr>
            <w:hyperlink r:id="rId162">
              <w:r>
                <w:rPr>
                  <w:rFonts w:ascii="Times New Roman" w:cs="Times New Roman" w:eastAsia="Times New Roman" w:hAnsi="Times New Roman"/>
                  <w:sz w:val="18"/>
                  <w:szCs w:val="18"/>
                  <w:color w:val="auto"/>
                  <w:w w:val="99"/>
                </w:rPr>
                <w:t>Agreement between Progyny, Inc. and</w:t>
              </w:r>
            </w:hyperlink>
          </w:p>
        </w:tc>
        <w:tc>
          <w:tcPr>
            <w:tcW w:w="280" w:type="dxa"/>
            <w:vAlign w:val="bottom"/>
            <w:gridSpan w:val="8"/>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auto"/>
              </w:rPr>
            </w:pPr>
            <w:hyperlink r:id="rId162">
              <w:r>
                <w:rPr>
                  <w:rFonts w:ascii="Times New Roman" w:cs="Times New Roman" w:eastAsia="Times New Roman" w:hAnsi="Times New Roman"/>
                  <w:sz w:val="18"/>
                  <w:szCs w:val="18"/>
                  <w:color w:val="auto"/>
                </w:rPr>
                <w:t>Mark Livingston, effective June 7, 2022.</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6"/>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2940" w:type="dxa"/>
            <w:vAlign w:val="bottom"/>
            <w:tcBorders>
              <w:top w:val="single" w:sz="8" w:color="auto"/>
            </w:tcBorders>
            <w:gridSpan w:val="24"/>
          </w:tcPr>
          <w:p>
            <w:pPr>
              <w:spacing w:after="0"/>
              <w:rPr>
                <w:rFonts w:ascii="Times New Roman" w:cs="Times New Roman" w:eastAsia="Times New Roman" w:hAnsi="Times New Roman"/>
                <w:sz w:val="18"/>
                <w:szCs w:val="18"/>
                <w:color w:val="auto"/>
              </w:rPr>
            </w:pPr>
            <w:hyperlink r:id="rId163">
              <w:r>
                <w:rPr>
                  <w:rFonts w:ascii="Times New Roman" w:cs="Times New Roman" w:eastAsia="Times New Roman" w:hAnsi="Times New Roman"/>
                  <w:sz w:val="18"/>
                  <w:szCs w:val="18"/>
                  <w:color w:val="auto"/>
                </w:rPr>
                <w:t>Employment Agreement between</w:t>
              </w:r>
            </w:hyperlink>
          </w:p>
        </w:tc>
        <w:tc>
          <w:tcPr>
            <w:tcW w:w="120" w:type="dxa"/>
            <w:vAlign w:val="bottom"/>
            <w:gridSpan w:val="3"/>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3/1/2023</w:t>
            </w:r>
          </w:p>
        </w:tc>
      </w:tr>
      <w:tr>
        <w:trPr>
          <w:trHeight w:val="183"/>
        </w:trPr>
        <w:tc>
          <w:tcPr>
            <w:tcW w:w="1340" w:type="dxa"/>
            <w:vAlign w:val="bottom"/>
          </w:tcPr>
          <w:p>
            <w:pPr>
              <w:spacing w:after="0"/>
              <w:rPr>
                <w:sz w:val="15"/>
                <w:szCs w:val="15"/>
                <w:color w:val="auto"/>
              </w:rPr>
            </w:pPr>
          </w:p>
        </w:tc>
        <w:tc>
          <w:tcPr>
            <w:tcW w:w="2420" w:type="dxa"/>
            <w:vAlign w:val="bottom"/>
            <w:tcBorders>
              <w:top w:val="single" w:sz="8" w:color="auto"/>
              <w:bottom w:val="single" w:sz="8" w:color="auto"/>
            </w:tcBorders>
            <w:gridSpan w:val="8"/>
          </w:tcPr>
          <w:p>
            <w:pPr>
              <w:spacing w:after="0" w:line="182" w:lineRule="exact"/>
              <w:rPr>
                <w:rFonts w:ascii="Times New Roman" w:cs="Times New Roman" w:eastAsia="Times New Roman" w:hAnsi="Times New Roman"/>
                <w:sz w:val="18"/>
                <w:szCs w:val="18"/>
                <w:color w:val="auto"/>
                <w:w w:val="98"/>
              </w:rPr>
            </w:pPr>
            <w:hyperlink r:id="rId163">
              <w:r>
                <w:rPr>
                  <w:rFonts w:ascii="Times New Roman" w:cs="Times New Roman" w:eastAsia="Times New Roman" w:hAnsi="Times New Roman"/>
                  <w:sz w:val="18"/>
                  <w:szCs w:val="18"/>
                  <w:color w:val="auto"/>
                  <w:w w:val="98"/>
                </w:rPr>
                <w:t>Progyny, Inc. and Allison Swartz,</w:t>
              </w:r>
            </w:hyperlink>
          </w:p>
        </w:tc>
        <w:tc>
          <w:tcPr>
            <w:tcW w:w="40" w:type="dxa"/>
            <w:vAlign w:val="bottom"/>
            <w:tcBorders>
              <w:bottom w:val="single" w:sz="8" w:color="auto"/>
            </w:tcBorders>
            <w:gridSpan w:val="2"/>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1980" w:type="dxa"/>
            <w:vAlign w:val="bottom"/>
            <w:tcBorders>
              <w:bottom w:val="single" w:sz="8" w:color="auto"/>
            </w:tcBorders>
            <w:gridSpan w:val="6"/>
          </w:tcPr>
          <w:p>
            <w:pPr>
              <w:spacing w:after="0" w:line="196" w:lineRule="exact"/>
              <w:rPr>
                <w:rFonts w:ascii="Times New Roman" w:cs="Times New Roman" w:eastAsia="Times New Roman" w:hAnsi="Times New Roman"/>
                <w:sz w:val="18"/>
                <w:szCs w:val="18"/>
                <w:color w:val="auto"/>
                <w:w w:val="99"/>
              </w:rPr>
            </w:pPr>
            <w:hyperlink r:id="rId163">
              <w:r>
                <w:rPr>
                  <w:rFonts w:ascii="Times New Roman" w:cs="Times New Roman" w:eastAsia="Times New Roman" w:hAnsi="Times New Roman"/>
                  <w:sz w:val="18"/>
                  <w:szCs w:val="18"/>
                  <w:color w:val="auto"/>
                  <w:w w:val="99"/>
                </w:rPr>
                <w:t xml:space="preserve">effective </w:t>
              </w:r>
              <w:r>
                <w:rPr>
                  <w:rFonts w:ascii="Times New Roman" w:cs="Times New Roman" w:eastAsia="Times New Roman" w:hAnsi="Times New Roman"/>
                  <w:sz w:val="18"/>
                  <w:szCs w:val="18"/>
                  <w:color w:val="auto"/>
                  <w:highlight w:val="white"/>
                  <w:w w:val="99"/>
                </w:rPr>
                <w:t>October 27, 2022.</w:t>
              </w:r>
            </w:hyperlink>
          </w:p>
        </w:tc>
        <w:tc>
          <w:tcPr>
            <w:tcW w:w="108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266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r:id="rId164">
              <w:r>
                <w:rPr>
                  <w:rFonts w:ascii="Times New Roman" w:cs="Times New Roman" w:eastAsia="Times New Roman" w:hAnsi="Times New Roman"/>
                  <w:sz w:val="18"/>
                  <w:szCs w:val="18"/>
                  <w:color w:val="auto"/>
                  <w:w w:val="99"/>
                </w:rPr>
                <w:t>Amended and Restated Employment</w:t>
              </w:r>
            </w:hyperlink>
          </w:p>
        </w:tc>
        <w:tc>
          <w:tcPr>
            <w:tcW w:w="400" w:type="dxa"/>
            <w:vAlign w:val="bottom"/>
            <w:gridSpan w:val="13"/>
          </w:tcPr>
          <w:p>
            <w:pPr>
              <w:spacing w:after="0"/>
              <w:rPr>
                <w:sz w:val="20"/>
                <w:szCs w:val="20"/>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10-Q</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5/6/2022</w:t>
            </w:r>
          </w:p>
        </w:tc>
      </w:tr>
      <w:tr>
        <w:trPr>
          <w:trHeight w:val="183"/>
        </w:trPr>
        <w:tc>
          <w:tcPr>
            <w:tcW w:w="1340" w:type="dxa"/>
            <w:vAlign w:val="bottom"/>
          </w:tcPr>
          <w:p>
            <w:pPr>
              <w:spacing w:after="0"/>
              <w:rPr>
                <w:sz w:val="15"/>
                <w:szCs w:val="15"/>
                <w:color w:val="auto"/>
              </w:rPr>
            </w:pPr>
          </w:p>
        </w:tc>
        <w:tc>
          <w:tcPr>
            <w:tcW w:w="3060" w:type="dxa"/>
            <w:vAlign w:val="bottom"/>
            <w:gridSpan w:val="27"/>
          </w:tcPr>
          <w:p>
            <w:pPr>
              <w:spacing w:after="0" w:line="182"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Agreement between Progyny, Inc. and</w:t>
              </w:r>
            </w:hyperlink>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760" w:type="dxa"/>
            <w:vAlign w:val="bottom"/>
            <w:tcBorders>
              <w:top w:val="single" w:sz="8" w:color="auto"/>
            </w:tcBorders>
            <w:gridSpan w:val="18"/>
          </w:tcPr>
          <w:p>
            <w:pPr>
              <w:spacing w:after="0" w:line="196" w:lineRule="exact"/>
              <w:rPr>
                <w:rFonts w:ascii="Times New Roman" w:cs="Times New Roman" w:eastAsia="Times New Roman" w:hAnsi="Times New Roman"/>
                <w:sz w:val="18"/>
                <w:szCs w:val="18"/>
                <w:color w:val="auto"/>
              </w:rPr>
            </w:pPr>
            <w:hyperlink r:id="rId164">
              <w:r>
                <w:rPr>
                  <w:rFonts w:ascii="Times New Roman" w:cs="Times New Roman" w:eastAsia="Times New Roman" w:hAnsi="Times New Roman"/>
                  <w:sz w:val="18"/>
                  <w:szCs w:val="18"/>
                  <w:color w:val="auto"/>
                </w:rPr>
                <w:t>Michael Sturmer, effective January 1,</w:t>
              </w:r>
            </w:hyperlink>
          </w:p>
        </w:tc>
        <w:tc>
          <w:tcPr>
            <w:tcW w:w="300" w:type="dxa"/>
            <w:vAlign w:val="bottom"/>
            <w:gridSpan w:val="9"/>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183"/>
        </w:trPr>
        <w:tc>
          <w:tcPr>
            <w:tcW w:w="134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line="182" w:lineRule="exact"/>
              <w:rPr>
                <w:rFonts w:ascii="Times New Roman" w:cs="Times New Roman" w:eastAsia="Times New Roman" w:hAnsi="Times New Roman"/>
                <w:sz w:val="18"/>
                <w:szCs w:val="18"/>
                <w:color w:val="auto"/>
                <w:w w:val="98"/>
              </w:rPr>
            </w:pPr>
            <w:hyperlink r:id="rId164">
              <w:r>
                <w:rPr>
                  <w:rFonts w:ascii="Times New Roman" w:cs="Times New Roman" w:eastAsia="Times New Roman" w:hAnsi="Times New Roman"/>
                  <w:sz w:val="18"/>
                  <w:szCs w:val="18"/>
                  <w:color w:val="auto"/>
                  <w:w w:val="98"/>
                </w:rPr>
                <w:t>2022.</w:t>
              </w:r>
            </w:hyperlink>
          </w:p>
        </w:tc>
        <w:tc>
          <w:tcPr>
            <w:tcW w:w="40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23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Sublease Agreement, dated as of July 29,</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183"/>
        </w:trPr>
        <w:tc>
          <w:tcPr>
            <w:tcW w:w="1340" w:type="dxa"/>
            <w:vAlign w:val="bottom"/>
          </w:tcPr>
          <w:p>
            <w:pPr>
              <w:spacing w:after="0"/>
              <w:rPr>
                <w:sz w:val="15"/>
                <w:szCs w:val="15"/>
                <w:color w:val="auto"/>
              </w:rPr>
            </w:pPr>
          </w:p>
        </w:tc>
        <w:tc>
          <w:tcPr>
            <w:tcW w:w="2880" w:type="dxa"/>
            <w:vAlign w:val="bottom"/>
            <w:tcBorders>
              <w:top w:val="single" w:sz="8" w:color="auto"/>
              <w:bottom w:val="single" w:sz="8" w:color="auto"/>
            </w:tcBorders>
            <w:gridSpan w:val="23"/>
          </w:tcPr>
          <w:p>
            <w:pPr>
              <w:spacing w:after="0" w:line="182"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2019 by and between IPREO Holdings,</w:t>
              </w:r>
            </w:hyperlink>
          </w:p>
        </w:tc>
        <w:tc>
          <w:tcPr>
            <w:tcW w:w="100" w:type="dxa"/>
            <w:vAlign w:val="bottom"/>
            <w:tcBorders>
              <w:top w:val="single" w:sz="8" w:color="auto"/>
            </w:tcBorders>
            <w:gridSpan w:val="2"/>
          </w:tcPr>
          <w:p>
            <w:pPr>
              <w:spacing w:after="0"/>
              <w:rPr>
                <w:sz w:val="15"/>
                <w:szCs w:val="15"/>
                <w:color w:val="auto"/>
              </w:rPr>
            </w:pPr>
          </w:p>
        </w:tc>
        <w:tc>
          <w:tcPr>
            <w:tcW w:w="80" w:type="dxa"/>
            <w:vAlign w:val="bottom"/>
            <w:gridSpan w:val="2"/>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auto"/>
              </w:rPr>
            </w:pPr>
            <w:hyperlink r:id="rId165">
              <w:r>
                <w:rPr>
                  <w:rFonts w:ascii="Times New Roman" w:cs="Times New Roman" w:eastAsia="Times New Roman" w:hAnsi="Times New Roman"/>
                  <w:sz w:val="18"/>
                  <w:szCs w:val="18"/>
                  <w:color w:val="auto"/>
                </w:rPr>
                <w:t>LLC and Progyny, Inc.</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0"/>
        </w:trPr>
        <w:tc>
          <w:tcPr>
            <w:tcW w:w="1340" w:type="dxa"/>
            <w:vAlign w:val="bottom"/>
          </w:tcPr>
          <w:p>
            <w:pPr>
              <w:spacing w:after="0" w:line="20" w:lineRule="exact"/>
              <w:rPr>
                <w:sz w:val="1"/>
                <w:szCs w:val="1"/>
                <w:color w:val="auto"/>
              </w:rPr>
            </w:pPr>
          </w:p>
        </w:tc>
        <w:tc>
          <w:tcPr>
            <w:tcW w:w="1520" w:type="dxa"/>
            <w:vAlign w:val="bottom"/>
            <w:gridSpan w:val="4"/>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r>
      <w:tr>
        <w:trPr>
          <w:trHeight w:val="23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66">
              <w:r>
                <w:rPr>
                  <w:rFonts w:ascii="Times New Roman" w:cs="Times New Roman" w:eastAsia="Times New Roman" w:hAnsi="Times New Roman"/>
                  <w:sz w:val="18"/>
                  <w:szCs w:val="18"/>
                  <w:color w:val="auto"/>
                </w:rPr>
                <w:t>Lease Agreement, dated as of February</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10-K</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001-39100</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3/1/2023</w:t>
            </w:r>
          </w:p>
        </w:tc>
      </w:tr>
      <w:tr>
        <w:trPr>
          <w:trHeight w:val="183"/>
        </w:trPr>
        <w:tc>
          <w:tcPr>
            <w:tcW w:w="1340" w:type="dxa"/>
            <w:vAlign w:val="bottom"/>
          </w:tcPr>
          <w:p>
            <w:pPr>
              <w:spacing w:after="0"/>
              <w:rPr>
                <w:sz w:val="15"/>
                <w:szCs w:val="15"/>
                <w:color w:val="auto"/>
              </w:rPr>
            </w:pPr>
          </w:p>
        </w:tc>
        <w:tc>
          <w:tcPr>
            <w:tcW w:w="2700" w:type="dxa"/>
            <w:vAlign w:val="bottom"/>
            <w:tcBorders>
              <w:top w:val="single" w:sz="8" w:color="auto"/>
              <w:bottom w:val="single" w:sz="8" w:color="auto"/>
            </w:tcBorders>
            <w:gridSpan w:val="16"/>
          </w:tcPr>
          <w:p>
            <w:pPr>
              <w:spacing w:after="0" w:line="182" w:lineRule="exact"/>
              <w:rPr>
                <w:rFonts w:ascii="Times New Roman" w:cs="Times New Roman" w:eastAsia="Times New Roman" w:hAnsi="Times New Roman"/>
                <w:sz w:val="18"/>
                <w:szCs w:val="18"/>
                <w:color w:val="auto"/>
                <w:w w:val="99"/>
              </w:rPr>
            </w:pPr>
            <w:hyperlink r:id="rId166">
              <w:r>
                <w:rPr>
                  <w:rFonts w:ascii="Times New Roman" w:cs="Times New Roman" w:eastAsia="Times New Roman" w:hAnsi="Times New Roman"/>
                  <w:sz w:val="18"/>
                  <w:szCs w:val="18"/>
                  <w:color w:val="auto"/>
                  <w:w w:val="99"/>
                </w:rPr>
                <w:t>25, 2022 by and between ESRT 1359</w:t>
              </w:r>
            </w:hyperlink>
          </w:p>
        </w:tc>
        <w:tc>
          <w:tcPr>
            <w:tcW w:w="140" w:type="dxa"/>
            <w:vAlign w:val="bottom"/>
            <w:tcBorders>
              <w:top w:val="single" w:sz="8" w:color="auto"/>
            </w:tcBorders>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480" w:type="dxa"/>
            <w:vAlign w:val="bottom"/>
            <w:tcBorders>
              <w:bottom w:val="single" w:sz="8" w:color="auto"/>
            </w:tcBorders>
            <w:gridSpan w:val="11"/>
          </w:tcPr>
          <w:p>
            <w:pPr>
              <w:spacing w:after="0" w:line="196" w:lineRule="exact"/>
              <w:rPr>
                <w:rFonts w:ascii="Times New Roman" w:cs="Times New Roman" w:eastAsia="Times New Roman" w:hAnsi="Times New Roman"/>
                <w:sz w:val="18"/>
                <w:szCs w:val="18"/>
                <w:color w:val="auto"/>
                <w:w w:val="98"/>
              </w:rPr>
            </w:pPr>
            <w:hyperlink r:id="rId166">
              <w:r>
                <w:rPr>
                  <w:rFonts w:ascii="Times New Roman" w:cs="Times New Roman" w:eastAsia="Times New Roman" w:hAnsi="Times New Roman"/>
                  <w:sz w:val="18"/>
                  <w:szCs w:val="18"/>
                  <w:color w:val="auto"/>
                  <w:w w:val="98"/>
                </w:rPr>
                <w:t>Broadway, LLC and Progyny, Inc.</w:t>
              </w:r>
            </w:hyperlink>
          </w:p>
        </w:tc>
        <w:tc>
          <w:tcPr>
            <w:tcW w:w="580" w:type="dxa"/>
            <w:vAlign w:val="bottom"/>
            <w:gridSpan w:val="16"/>
          </w:tcPr>
          <w:p>
            <w:pPr>
              <w:spacing w:after="0"/>
              <w:rPr>
                <w:sz w:val="17"/>
                <w:szCs w:val="17"/>
                <w:color w:val="auto"/>
              </w:rPr>
            </w:pPr>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237"/>
        </w:trPr>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3060" w:type="dxa"/>
            <w:vAlign w:val="bottom"/>
            <w:gridSpan w:val="27"/>
          </w:tcPr>
          <w:p>
            <w:pPr>
              <w:spacing w:after="0"/>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Loan and Security Agreement, dated as</w:t>
              </w:r>
            </w:hyperlink>
          </w:p>
        </w:tc>
        <w:tc>
          <w:tcPr>
            <w:tcW w:w="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S-1</w:t>
            </w:r>
          </w:p>
        </w:tc>
        <w:tc>
          <w:tcPr>
            <w:tcW w:w="180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333-233965</w:t>
            </w:r>
          </w:p>
        </w:tc>
        <w:tc>
          <w:tcPr>
            <w:tcW w:w="10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31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9/27/2019</w:t>
            </w:r>
          </w:p>
        </w:tc>
      </w:tr>
      <w:tr>
        <w:trPr>
          <w:trHeight w:val="182"/>
        </w:trPr>
        <w:tc>
          <w:tcPr>
            <w:tcW w:w="1340" w:type="dxa"/>
            <w:vAlign w:val="bottom"/>
          </w:tcPr>
          <w:p>
            <w:pPr>
              <w:spacing w:after="0"/>
              <w:rPr>
                <w:sz w:val="15"/>
                <w:szCs w:val="15"/>
                <w:color w:val="auto"/>
              </w:rPr>
            </w:pPr>
          </w:p>
        </w:tc>
        <w:tc>
          <w:tcPr>
            <w:tcW w:w="2860" w:type="dxa"/>
            <w:vAlign w:val="bottom"/>
            <w:tcBorders>
              <w:top w:val="single" w:sz="8" w:color="auto"/>
              <w:bottom w:val="single" w:sz="8" w:color="auto"/>
            </w:tcBorders>
            <w:gridSpan w:val="22"/>
          </w:tcPr>
          <w:p>
            <w:pPr>
              <w:spacing w:after="0" w:line="182" w:lineRule="exact"/>
              <w:rPr>
                <w:rFonts w:ascii="Times New Roman" w:cs="Times New Roman" w:eastAsia="Times New Roman" w:hAnsi="Times New Roman"/>
                <w:sz w:val="18"/>
                <w:szCs w:val="18"/>
                <w:color w:val="auto"/>
                <w:w w:val="98"/>
              </w:rPr>
            </w:pPr>
            <w:hyperlink r:id="rId167">
              <w:r>
                <w:rPr>
                  <w:rFonts w:ascii="Times New Roman" w:cs="Times New Roman" w:eastAsia="Times New Roman" w:hAnsi="Times New Roman"/>
                  <w:sz w:val="18"/>
                  <w:szCs w:val="18"/>
                  <w:color w:val="auto"/>
                  <w:w w:val="98"/>
                </w:rPr>
                <w:t>of June 8, 2018, between Silicon Valley</w:t>
              </w:r>
            </w:hyperlink>
          </w:p>
        </w:tc>
        <w:tc>
          <w:tcPr>
            <w:tcW w:w="20" w:type="dxa"/>
            <w:vAlign w:val="bottom"/>
            <w:tcBorders>
              <w:bottom w:val="single" w:sz="8" w:color="auto"/>
            </w:tcBorders>
          </w:tcPr>
          <w:p>
            <w:pPr>
              <w:spacing w:after="0"/>
              <w:rPr>
                <w:sz w:val="15"/>
                <w:szCs w:val="15"/>
                <w:color w:val="auto"/>
              </w:rPr>
            </w:pPr>
          </w:p>
        </w:tc>
        <w:tc>
          <w:tcPr>
            <w:tcW w:w="180" w:type="dxa"/>
            <w:vAlign w:val="bottom"/>
            <w:gridSpan w:val="4"/>
          </w:tcPr>
          <w:p>
            <w:pPr>
              <w:spacing w:after="0"/>
              <w:rPr>
                <w:sz w:val="15"/>
                <w:szCs w:val="15"/>
                <w:color w:val="auto"/>
              </w:rPr>
            </w:pPr>
          </w:p>
        </w:tc>
        <w:tc>
          <w:tcPr>
            <w:tcW w:w="8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18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3060" w:type="dxa"/>
            <w:vAlign w:val="bottom"/>
            <w:gridSpan w:val="27"/>
          </w:tcPr>
          <w:p>
            <w:pPr>
              <w:spacing w:after="0" w:line="196" w:lineRule="exact"/>
              <w:rPr>
                <w:rFonts w:ascii="Times New Roman" w:cs="Times New Roman" w:eastAsia="Times New Roman" w:hAnsi="Times New Roman"/>
                <w:sz w:val="18"/>
                <w:szCs w:val="18"/>
                <w:color w:val="auto"/>
              </w:rPr>
            </w:pPr>
            <w:hyperlink r:id="rId167">
              <w:r>
                <w:rPr>
                  <w:rFonts w:ascii="Times New Roman" w:cs="Times New Roman" w:eastAsia="Times New Roman" w:hAnsi="Times New Roman"/>
                  <w:sz w:val="18"/>
                  <w:szCs w:val="18"/>
                  <w:color w:val="auto"/>
                </w:rPr>
                <w:t>Bank and Registrant.</w:t>
              </w:r>
            </w:hyperlink>
          </w:p>
        </w:tc>
        <w:tc>
          <w:tcPr>
            <w:tcW w:w="8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180" w:type="dxa"/>
            <w:vAlign w:val="bottom"/>
          </w:tcPr>
          <w:p>
            <w:pPr>
              <w:spacing w:after="0"/>
              <w:rPr>
                <w:sz w:val="17"/>
                <w:szCs w:val="17"/>
                <w:color w:val="auto"/>
              </w:rPr>
            </w:pPr>
          </w:p>
        </w:tc>
      </w:tr>
      <w:tr>
        <w:trPr>
          <w:trHeight w:val="938"/>
        </w:trPr>
        <w:tc>
          <w:tcPr>
            <w:tcW w:w="13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97</w:t>
            </w:r>
          </w:p>
        </w:tc>
        <w:tc>
          <w:tcPr>
            <w:tcW w:w="10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115"/>
        </w:trPr>
        <w:tc>
          <w:tcPr>
            <w:tcW w:w="13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8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3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10.15</w:t>
            </w:r>
          </w:p>
        </w:tc>
        <w:tc>
          <w:tcPr>
            <w:tcW w:w="2520" w:type="dxa"/>
            <w:vAlign w:val="bottom"/>
            <w:tcBorders>
              <w:bottom w:val="single" w:sz="8" w:color="auto"/>
            </w:tcBorders>
            <w:gridSpan w:val="8"/>
          </w:tcPr>
          <w:p>
            <w:pPr>
              <w:spacing w:after="0"/>
              <w:rPr>
                <w:rFonts w:ascii="Times New Roman" w:cs="Times New Roman" w:eastAsia="Times New Roman" w:hAnsi="Times New Roman"/>
                <w:sz w:val="18"/>
                <w:szCs w:val="18"/>
                <w:color w:val="auto"/>
                <w:w w:val="99"/>
              </w:rPr>
            </w:pPr>
            <w:hyperlink r:id="rId170">
              <w:r>
                <w:rPr>
                  <w:rFonts w:ascii="Times New Roman" w:cs="Times New Roman" w:eastAsia="Times New Roman" w:hAnsi="Times New Roman"/>
                  <w:sz w:val="18"/>
                  <w:szCs w:val="18"/>
                  <w:color w:val="auto"/>
                  <w:w w:val="99"/>
                </w:rPr>
                <w:t>Amendments to Loan and Security</w:t>
              </w:r>
            </w:hyperlink>
          </w:p>
        </w:tc>
        <w:tc>
          <w:tcPr>
            <w:tcW w:w="400" w:type="dxa"/>
            <w:vAlign w:val="bottom"/>
            <w:gridSpan w:val="8"/>
          </w:tcPr>
          <w:p>
            <w:pPr>
              <w:spacing w:after="0"/>
              <w:rPr>
                <w:sz w:val="17"/>
                <w:szCs w:val="17"/>
                <w:color w:val="auto"/>
              </w:rPr>
            </w:pPr>
          </w:p>
        </w:tc>
      </w:tr>
      <w:tr>
        <w:trPr>
          <w:trHeight w:val="183"/>
        </w:trPr>
        <w:tc>
          <w:tcPr>
            <w:tcW w:w="1340" w:type="dxa"/>
            <w:vAlign w:val="bottom"/>
          </w:tcPr>
          <w:p>
            <w:pPr>
              <w:spacing w:after="0"/>
              <w:rPr>
                <w:sz w:val="15"/>
                <w:szCs w:val="15"/>
                <w:color w:val="auto"/>
              </w:rPr>
            </w:pPr>
          </w:p>
        </w:tc>
        <w:tc>
          <w:tcPr>
            <w:tcW w:w="2680" w:type="dxa"/>
            <w:vAlign w:val="bottom"/>
            <w:tcBorders>
              <w:bottom w:val="single" w:sz="8" w:color="auto"/>
            </w:tcBorders>
            <w:gridSpan w:val="12"/>
          </w:tcPr>
          <w:p>
            <w:pPr>
              <w:spacing w:after="0" w:line="182" w:lineRule="exact"/>
              <w:rPr>
                <w:rFonts w:ascii="Times New Roman" w:cs="Times New Roman" w:eastAsia="Times New Roman" w:hAnsi="Times New Roman"/>
                <w:sz w:val="18"/>
                <w:szCs w:val="18"/>
                <w:color w:val="auto"/>
                <w:w w:val="99"/>
              </w:rPr>
            </w:pPr>
            <w:hyperlink r:id="rId170">
              <w:r>
                <w:rPr>
                  <w:rFonts w:ascii="Times New Roman" w:cs="Times New Roman" w:eastAsia="Times New Roman" w:hAnsi="Times New Roman"/>
                  <w:sz w:val="18"/>
                  <w:szCs w:val="18"/>
                  <w:color w:val="auto"/>
                  <w:w w:val="99"/>
                </w:rPr>
                <w:t>Agreement, dated as of June 8, 2018,</w:t>
              </w:r>
            </w:hyperlink>
          </w:p>
        </w:tc>
        <w:tc>
          <w:tcPr>
            <w:tcW w:w="240" w:type="dxa"/>
            <w:vAlign w:val="bottom"/>
            <w:gridSpan w:val="4"/>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920" w:type="dxa"/>
            <w:vAlign w:val="bottom"/>
            <w:gridSpan w:val="16"/>
          </w:tcPr>
          <w:p>
            <w:pPr>
              <w:spacing w:after="0" w:line="196" w:lineRule="exact"/>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between Silicon Valley Bank and</w:t>
              </w:r>
            </w:hyperlink>
          </w:p>
        </w:tc>
      </w:tr>
      <w:tr>
        <w:trPr>
          <w:trHeight w:val="183"/>
        </w:trPr>
        <w:tc>
          <w:tcPr>
            <w:tcW w:w="1340" w:type="dxa"/>
            <w:vAlign w:val="bottom"/>
          </w:tcPr>
          <w:p>
            <w:pPr>
              <w:spacing w:after="0"/>
              <w:rPr>
                <w:sz w:val="15"/>
                <w:szCs w:val="15"/>
                <w:color w:val="auto"/>
              </w:rPr>
            </w:pPr>
          </w:p>
        </w:tc>
        <w:tc>
          <w:tcPr>
            <w:tcW w:w="2400" w:type="dxa"/>
            <w:vAlign w:val="bottom"/>
            <w:tcBorders>
              <w:top w:val="single" w:sz="8" w:color="auto"/>
            </w:tcBorders>
            <w:gridSpan w:val="6"/>
          </w:tcPr>
          <w:p>
            <w:pPr>
              <w:spacing w:after="0" w:line="182" w:lineRule="exact"/>
              <w:rPr>
                <w:rFonts w:ascii="Times New Roman" w:cs="Times New Roman" w:eastAsia="Times New Roman" w:hAnsi="Times New Roman"/>
                <w:sz w:val="18"/>
                <w:szCs w:val="18"/>
                <w:color w:val="auto"/>
              </w:rPr>
            </w:pPr>
            <w:hyperlink r:id="rId170">
              <w:r>
                <w:rPr>
                  <w:rFonts w:ascii="Times New Roman" w:cs="Times New Roman" w:eastAsia="Times New Roman" w:hAnsi="Times New Roman"/>
                  <w:sz w:val="18"/>
                  <w:szCs w:val="18"/>
                  <w:color w:val="auto"/>
                </w:rPr>
                <w:t>Registrant.</w:t>
              </w:r>
            </w:hyperlink>
          </w:p>
        </w:tc>
        <w:tc>
          <w:tcPr>
            <w:tcW w:w="2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2920" w:type="dxa"/>
            <w:vAlign w:val="bottom"/>
            <w:tcBorders>
              <w:bottom w:val="single" w:sz="8" w:color="auto"/>
            </w:tcBorders>
            <w:gridSpan w:val="16"/>
          </w:tcPr>
          <w:p>
            <w:pPr>
              <w:spacing w:after="0"/>
              <w:rPr>
                <w:rFonts w:ascii="Times New Roman" w:cs="Times New Roman" w:eastAsia="Times New Roman" w:hAnsi="Times New Roman"/>
                <w:sz w:val="18"/>
                <w:szCs w:val="18"/>
                <w:color w:val="auto"/>
                <w:w w:val="98"/>
              </w:rPr>
            </w:pPr>
            <w:hyperlink r:id="rId171">
              <w:r>
                <w:rPr>
                  <w:rFonts w:ascii="Times New Roman" w:cs="Times New Roman" w:eastAsia="Times New Roman" w:hAnsi="Times New Roman"/>
                  <w:sz w:val="18"/>
                  <w:szCs w:val="18"/>
                  <w:color w:val="auto"/>
                  <w:w w:val="98"/>
                </w:rPr>
                <w:t>Progyny, Inc. Executive Severance Plan.</w:t>
              </w:r>
            </w:hyperlink>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19.1</w:t>
            </w: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Progyny, Inc. Statement of Policy</w:t>
            </w:r>
          </w:p>
        </w:tc>
      </w:tr>
      <w:tr>
        <w:trPr>
          <w:trHeight w:val="183"/>
        </w:trPr>
        <w:tc>
          <w:tcPr>
            <w:tcW w:w="1340" w:type="dxa"/>
            <w:vAlign w:val="bottom"/>
          </w:tcPr>
          <w:p>
            <w:pPr>
              <w:spacing w:after="0"/>
              <w:rPr>
                <w:sz w:val="15"/>
                <w:szCs w:val="15"/>
                <w:color w:val="auto"/>
              </w:rPr>
            </w:pPr>
          </w:p>
        </w:tc>
        <w:tc>
          <w:tcPr>
            <w:tcW w:w="2380" w:type="dxa"/>
            <w:vAlign w:val="bottom"/>
            <w:tcBorders>
              <w:top w:val="single" w:sz="8" w:color="auto"/>
              <w:bottom w:val="single" w:sz="8" w:color="auto"/>
            </w:tcBorders>
            <w:gridSpan w:val="5"/>
          </w:tcPr>
          <w:p>
            <w:pPr>
              <w:spacing w:after="0" w:line="182" w:lineRule="exact"/>
              <w:rPr>
                <w:sz w:val="20"/>
                <w:szCs w:val="20"/>
                <w:color w:val="auto"/>
              </w:rPr>
            </w:pPr>
            <w:r>
              <w:rPr>
                <w:rFonts w:ascii="Times New Roman" w:cs="Times New Roman" w:eastAsia="Times New Roman" w:hAnsi="Times New Roman"/>
                <w:sz w:val="18"/>
                <w:szCs w:val="18"/>
                <w:color w:val="auto"/>
                <w:w w:val="98"/>
              </w:rPr>
              <w:t>Concerning Trading in Company</w:t>
            </w:r>
          </w:p>
        </w:tc>
        <w:tc>
          <w:tcPr>
            <w:tcW w:w="40" w:type="dxa"/>
            <w:vAlign w:val="bottom"/>
            <w:tcBorders>
              <w:top w:val="single" w:sz="8" w:color="auto"/>
            </w:tcBorders>
            <w:gridSpan w:val="2"/>
          </w:tcPr>
          <w:p>
            <w:pPr>
              <w:spacing w:after="0"/>
              <w:rPr>
                <w:sz w:val="15"/>
                <w:szCs w:val="15"/>
                <w:color w:val="auto"/>
              </w:rPr>
            </w:pPr>
          </w:p>
        </w:tc>
        <w:tc>
          <w:tcPr>
            <w:tcW w:w="1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78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7"/>
              </w:rPr>
              <w:t>Securities.</w:t>
            </w:r>
          </w:p>
        </w:tc>
        <w:tc>
          <w:tcPr>
            <w:tcW w:w="2140" w:type="dxa"/>
            <w:vAlign w:val="bottom"/>
            <w:gridSpan w:val="14"/>
          </w:tcPr>
          <w:p>
            <w:pPr>
              <w:spacing w:after="0"/>
              <w:rPr>
                <w:sz w:val="17"/>
                <w:szCs w:val="17"/>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2920" w:type="dxa"/>
            <w:vAlign w:val="bottom"/>
            <w:gridSpan w:val="16"/>
          </w:tcPr>
          <w:p>
            <w:pPr>
              <w:spacing w:after="0"/>
              <w:rPr>
                <w:rFonts w:ascii="Times New Roman" w:cs="Times New Roman" w:eastAsia="Times New Roman" w:hAnsi="Times New Roman"/>
                <w:sz w:val="18"/>
                <w:szCs w:val="18"/>
                <w:color w:val="auto"/>
              </w:rPr>
            </w:pPr>
            <w:hyperlink r:id="rId172">
              <w:r>
                <w:rPr>
                  <w:rFonts w:ascii="Times New Roman" w:cs="Times New Roman" w:eastAsia="Times New Roman" w:hAnsi="Times New Roman"/>
                  <w:sz w:val="18"/>
                  <w:szCs w:val="18"/>
                  <w:color w:val="auto"/>
                </w:rPr>
                <w:t>List of Subsidiaries.</w:t>
              </w:r>
            </w:hyperlink>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22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8"/>
              </w:rPr>
              <w:t>Consent of Ernst &amp; Young LLP</w:t>
            </w:r>
          </w:p>
        </w:tc>
        <w:tc>
          <w:tcPr>
            <w:tcW w:w="640" w:type="dxa"/>
            <w:vAlign w:val="bottom"/>
            <w:gridSpan w:val="12"/>
          </w:tcPr>
          <w:p>
            <w:pPr>
              <w:spacing w:after="0"/>
              <w:rPr>
                <w:sz w:val="20"/>
                <w:szCs w:val="20"/>
                <w:color w:val="auto"/>
              </w:rPr>
            </w:pPr>
          </w:p>
        </w:tc>
      </w:tr>
      <w:tr>
        <w:trPr>
          <w:trHeight w:val="245"/>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Power of Attorney (incorporated by</w:t>
            </w:r>
          </w:p>
        </w:tc>
      </w:tr>
      <w:tr>
        <w:trPr>
          <w:trHeight w:val="203"/>
        </w:trPr>
        <w:tc>
          <w:tcPr>
            <w:tcW w:w="1340" w:type="dxa"/>
            <w:vAlign w:val="bottom"/>
          </w:tcPr>
          <w:p>
            <w:pPr>
              <w:spacing w:after="0"/>
              <w:rPr>
                <w:sz w:val="17"/>
                <w:szCs w:val="17"/>
                <w:color w:val="auto"/>
              </w:rPr>
            </w:pPr>
          </w:p>
        </w:tc>
        <w:tc>
          <w:tcPr>
            <w:tcW w:w="2920" w:type="dxa"/>
            <w:vAlign w:val="bottom"/>
            <w:gridSpan w:val="16"/>
          </w:tcPr>
          <w:p>
            <w:pPr>
              <w:spacing w:after="0" w:line="202" w:lineRule="exact"/>
              <w:rPr>
                <w:sz w:val="20"/>
                <w:szCs w:val="20"/>
                <w:color w:val="auto"/>
              </w:rPr>
            </w:pPr>
            <w:r>
              <w:rPr>
                <w:rFonts w:ascii="Times New Roman" w:cs="Times New Roman" w:eastAsia="Times New Roman" w:hAnsi="Times New Roman"/>
                <w:sz w:val="18"/>
                <w:szCs w:val="18"/>
                <w:color w:val="auto"/>
              </w:rPr>
              <w:t>reference to the signature pages of this</w:t>
            </w:r>
          </w:p>
        </w:tc>
      </w:tr>
      <w:tr>
        <w:trPr>
          <w:trHeight w:val="234"/>
        </w:trPr>
        <w:tc>
          <w:tcPr>
            <w:tcW w:w="1340" w:type="dxa"/>
            <w:vAlign w:val="bottom"/>
          </w:tcPr>
          <w:p>
            <w:pPr>
              <w:spacing w:after="0"/>
              <w:rPr>
                <w:sz w:val="20"/>
                <w:szCs w:val="20"/>
                <w:color w:val="auto"/>
              </w:rPr>
            </w:pP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Annual Report on Form 10-K).</w:t>
            </w:r>
          </w:p>
        </w:tc>
      </w:tr>
      <w:tr>
        <w:trPr>
          <w:trHeight w:val="229"/>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Chief Executive Officer</w:t>
            </w:r>
          </w:p>
        </w:tc>
      </w:tr>
      <w:tr>
        <w:trPr>
          <w:trHeight w:val="183"/>
        </w:trPr>
        <w:tc>
          <w:tcPr>
            <w:tcW w:w="1340" w:type="dxa"/>
            <w:vAlign w:val="bottom"/>
          </w:tcPr>
          <w:p>
            <w:pPr>
              <w:spacing w:after="0"/>
              <w:rPr>
                <w:sz w:val="15"/>
                <w:szCs w:val="15"/>
                <w:color w:val="auto"/>
              </w:rPr>
            </w:pPr>
          </w:p>
        </w:tc>
        <w:tc>
          <w:tcPr>
            <w:tcW w:w="2620" w:type="dxa"/>
            <w:vAlign w:val="bottom"/>
            <w:tcBorders>
              <w:top w:val="single" w:sz="8" w:color="auto"/>
              <w:bottom w:val="single" w:sz="8" w:color="auto"/>
            </w:tcBorders>
            <w:gridSpan w:val="11"/>
          </w:tcPr>
          <w:p>
            <w:pPr>
              <w:spacing w:after="0" w:line="182" w:lineRule="exact"/>
              <w:rPr>
                <w:sz w:val="20"/>
                <w:szCs w:val="20"/>
                <w:color w:val="auto"/>
              </w:rPr>
            </w:pPr>
            <w:r>
              <w:rPr>
                <w:rFonts w:ascii="Times New Roman" w:cs="Times New Roman" w:eastAsia="Times New Roman" w:hAnsi="Times New Roman"/>
                <w:sz w:val="18"/>
                <w:szCs w:val="18"/>
                <w:color w:val="auto"/>
                <w:w w:val="99"/>
              </w:rPr>
              <w:t>pursuant to Exchange Act Rule 13a-</w:t>
            </w:r>
          </w:p>
        </w:tc>
        <w:tc>
          <w:tcPr>
            <w:tcW w:w="260" w:type="dxa"/>
            <w:vAlign w:val="bottom"/>
            <w:tcBorders>
              <w:top w:val="single" w:sz="8" w:color="auto"/>
            </w:tcBorders>
            <w:gridSpan w:val="4"/>
          </w:tcPr>
          <w:p>
            <w:pPr>
              <w:spacing w:after="0"/>
              <w:rPr>
                <w:sz w:val="15"/>
                <w:szCs w:val="15"/>
                <w:color w:val="auto"/>
              </w:rPr>
            </w:pPr>
          </w:p>
        </w:tc>
        <w:tc>
          <w:tcPr>
            <w:tcW w:w="40" w:type="dxa"/>
            <w:vAlign w:val="bottom"/>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9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14(a).</w:t>
            </w: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r>
      <w:tr>
        <w:trPr>
          <w:trHeight w:val="183"/>
        </w:trPr>
        <w:tc>
          <w:tcPr>
            <w:tcW w:w="1340" w:type="dxa"/>
            <w:vAlign w:val="bottom"/>
          </w:tcPr>
          <w:p>
            <w:pPr>
              <w:spacing w:after="0"/>
              <w:rPr>
                <w:sz w:val="15"/>
                <w:szCs w:val="15"/>
                <w:color w:val="auto"/>
              </w:rPr>
            </w:pPr>
          </w:p>
        </w:tc>
        <w:tc>
          <w:tcPr>
            <w:tcW w:w="2620" w:type="dxa"/>
            <w:vAlign w:val="bottom"/>
            <w:tcBorders>
              <w:top w:val="single" w:sz="8" w:color="auto"/>
              <w:bottom w:val="single" w:sz="8" w:color="auto"/>
            </w:tcBorders>
            <w:gridSpan w:val="11"/>
          </w:tcPr>
          <w:p>
            <w:pPr>
              <w:spacing w:after="0" w:line="182" w:lineRule="exact"/>
              <w:rPr>
                <w:sz w:val="20"/>
                <w:szCs w:val="20"/>
                <w:color w:val="auto"/>
              </w:rPr>
            </w:pPr>
            <w:r>
              <w:rPr>
                <w:rFonts w:ascii="Times New Roman" w:cs="Times New Roman" w:eastAsia="Times New Roman" w:hAnsi="Times New Roman"/>
                <w:sz w:val="18"/>
                <w:szCs w:val="18"/>
                <w:color w:val="auto"/>
                <w:w w:val="99"/>
              </w:rPr>
              <w:t>pursuant to Exchange Act Rule 13a-</w:t>
            </w:r>
          </w:p>
        </w:tc>
        <w:tc>
          <w:tcPr>
            <w:tcW w:w="200" w:type="dxa"/>
            <w:vAlign w:val="bottom"/>
            <w:tcBorders>
              <w:top w:val="single" w:sz="8" w:color="auto"/>
            </w:tcBorders>
            <w:gridSpan w:val="3"/>
          </w:tcPr>
          <w:p>
            <w:pPr>
              <w:spacing w:after="0"/>
              <w:rPr>
                <w:sz w:val="15"/>
                <w:szCs w:val="15"/>
                <w:color w:val="auto"/>
              </w:rPr>
            </w:pPr>
          </w:p>
        </w:tc>
        <w:tc>
          <w:tcPr>
            <w:tcW w:w="100" w:type="dxa"/>
            <w:vAlign w:val="bottom"/>
            <w:gridSpan w:val="2"/>
          </w:tcPr>
          <w:p>
            <w:pPr>
              <w:spacing w:after="0"/>
              <w:rPr>
                <w:sz w:val="15"/>
                <w:szCs w:val="15"/>
                <w:color w:val="auto"/>
              </w:rPr>
            </w:pPr>
          </w:p>
        </w:tc>
      </w:tr>
      <w:tr>
        <w:trPr>
          <w:trHeight w:val="196"/>
        </w:trPr>
        <w:tc>
          <w:tcPr>
            <w:tcW w:w="1340" w:type="dxa"/>
            <w:vAlign w:val="bottom"/>
          </w:tcPr>
          <w:p>
            <w:pPr>
              <w:spacing w:after="0"/>
              <w:rPr>
                <w:sz w:val="17"/>
                <w:szCs w:val="17"/>
                <w:color w:val="auto"/>
              </w:rPr>
            </w:pPr>
          </w:p>
        </w:tc>
        <w:tc>
          <w:tcPr>
            <w:tcW w:w="29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auto"/>
              </w:rPr>
              <w:t>14(a).</w:t>
            </w: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7"/>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Principal Executive</w:t>
            </w:r>
          </w:p>
        </w:tc>
      </w:tr>
      <w:tr>
        <w:trPr>
          <w:trHeight w:val="20"/>
        </w:trPr>
        <w:tc>
          <w:tcPr>
            <w:tcW w:w="1340" w:type="dxa"/>
            <w:vAlign w:val="bottom"/>
          </w:tcPr>
          <w:p>
            <w:pPr>
              <w:spacing w:after="0" w:line="20" w:lineRule="exact"/>
              <w:rPr>
                <w:sz w:val="1"/>
                <w:szCs w:val="1"/>
                <w:color w:val="auto"/>
              </w:rPr>
            </w:pPr>
          </w:p>
        </w:tc>
        <w:tc>
          <w:tcPr>
            <w:tcW w:w="420" w:type="dxa"/>
            <w:vAlign w:val="bottom"/>
            <w:tcBorders>
              <w:right w:val="single" w:sz="8" w:color="auto"/>
            </w:tcBorders>
            <w:shd w:val="clear" w:color="auto" w:fill="000000"/>
          </w:tcPr>
          <w:p>
            <w:pPr>
              <w:spacing w:after="0" w:line="20" w:lineRule="exact"/>
              <w:rPr>
                <w:sz w:val="1"/>
                <w:szCs w:val="1"/>
                <w:color w:val="auto"/>
              </w:rPr>
            </w:pPr>
          </w:p>
        </w:tc>
        <w:tc>
          <w:tcPr>
            <w:tcW w:w="2140" w:type="dxa"/>
            <w:vAlign w:val="bottom"/>
            <w:gridSpan w:val="8"/>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183"/>
        </w:trPr>
        <w:tc>
          <w:tcPr>
            <w:tcW w:w="1340" w:type="dxa"/>
            <w:vAlign w:val="bottom"/>
          </w:tcPr>
          <w:p>
            <w:pPr>
              <w:spacing w:after="0"/>
              <w:rPr>
                <w:sz w:val="15"/>
                <w:szCs w:val="15"/>
                <w:color w:val="auto"/>
              </w:rPr>
            </w:pPr>
          </w:p>
        </w:tc>
        <w:tc>
          <w:tcPr>
            <w:tcW w:w="2920" w:type="dxa"/>
            <w:vAlign w:val="bottom"/>
            <w:gridSpan w:val="16"/>
          </w:tcPr>
          <w:p>
            <w:pPr>
              <w:spacing w:after="0" w:line="182" w:lineRule="exact"/>
              <w:rPr>
                <w:sz w:val="20"/>
                <w:szCs w:val="20"/>
                <w:color w:val="auto"/>
              </w:rPr>
            </w:pPr>
            <w:r>
              <w:rPr>
                <w:rFonts w:ascii="Times New Roman" w:cs="Times New Roman" w:eastAsia="Times New Roman" w:hAnsi="Times New Roman"/>
                <w:sz w:val="18"/>
                <w:szCs w:val="18"/>
                <w:color w:val="auto"/>
              </w:rPr>
              <w:t>Officer pursuant to 18 U.S.C. Section</w:t>
            </w:r>
          </w:p>
        </w:tc>
      </w:tr>
      <w:tr>
        <w:trPr>
          <w:trHeight w:val="196"/>
        </w:trPr>
        <w:tc>
          <w:tcPr>
            <w:tcW w:w="13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3"/>
              </w:rPr>
              <w:t>1350.</w:t>
            </w:r>
          </w:p>
        </w:tc>
        <w:tc>
          <w:tcPr>
            <w:tcW w:w="3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29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Certification of Chief Financial Officer</w:t>
            </w:r>
          </w:p>
        </w:tc>
      </w:tr>
      <w:tr>
        <w:trPr>
          <w:trHeight w:val="182"/>
        </w:trPr>
        <w:tc>
          <w:tcPr>
            <w:tcW w:w="1340" w:type="dxa"/>
            <w:vAlign w:val="bottom"/>
          </w:tcPr>
          <w:p>
            <w:pPr>
              <w:spacing w:after="0"/>
              <w:rPr>
                <w:sz w:val="15"/>
                <w:szCs w:val="15"/>
                <w:color w:val="auto"/>
              </w:rPr>
            </w:pPr>
          </w:p>
        </w:tc>
        <w:tc>
          <w:tcPr>
            <w:tcW w:w="2600" w:type="dxa"/>
            <w:vAlign w:val="bottom"/>
            <w:tcBorders>
              <w:top w:val="single" w:sz="8" w:color="auto"/>
              <w:bottom w:val="single" w:sz="8" w:color="auto"/>
            </w:tcBorders>
            <w:gridSpan w:val="10"/>
          </w:tcPr>
          <w:p>
            <w:pPr>
              <w:spacing w:after="0" w:line="182" w:lineRule="exact"/>
              <w:rPr>
                <w:sz w:val="20"/>
                <w:szCs w:val="20"/>
                <w:color w:val="auto"/>
              </w:rPr>
            </w:pPr>
            <w:r>
              <w:rPr>
                <w:rFonts w:ascii="Times New Roman" w:cs="Times New Roman" w:eastAsia="Times New Roman" w:hAnsi="Times New Roman"/>
                <w:sz w:val="18"/>
                <w:szCs w:val="18"/>
                <w:color w:val="auto"/>
                <w:w w:val="99"/>
              </w:rPr>
              <w:t>pursuant to 18 U.S.C. Section 1350.</w:t>
            </w:r>
          </w:p>
        </w:tc>
        <w:tc>
          <w:tcPr>
            <w:tcW w:w="220" w:type="dxa"/>
            <w:vAlign w:val="bottom"/>
            <w:tcBorders>
              <w:top w:val="single" w:sz="8" w:color="auto"/>
            </w:tcBorders>
            <w:gridSpan w:val="4"/>
          </w:tcPr>
          <w:p>
            <w:pPr>
              <w:spacing w:after="0"/>
              <w:rPr>
                <w:sz w:val="15"/>
                <w:szCs w:val="15"/>
                <w:color w:val="auto"/>
              </w:rPr>
            </w:pPr>
          </w:p>
        </w:tc>
        <w:tc>
          <w:tcPr>
            <w:tcW w:w="100" w:type="dxa"/>
            <w:vAlign w:val="bottom"/>
            <w:gridSpan w:val="2"/>
          </w:tcPr>
          <w:p>
            <w:pPr>
              <w:spacing w:after="0"/>
              <w:rPr>
                <w:sz w:val="15"/>
                <w:szCs w:val="15"/>
                <w:color w:val="auto"/>
              </w:rPr>
            </w:pPr>
          </w:p>
        </w:tc>
      </w:tr>
    </w:tbl>
    <w:p>
      <w:pPr>
        <w:spacing w:after="0" w:line="63" w:lineRule="exact"/>
        <w:rPr>
          <w:sz w:val="20"/>
          <w:szCs w:val="20"/>
          <w:color w:val="auto"/>
        </w:rPr>
      </w:pPr>
    </w:p>
    <w:p>
      <w:pPr>
        <w:jc w:val="both"/>
        <w:ind w:left="1360" w:right="280" w:hanging="1334"/>
        <w:spacing w:after="0" w:line="281" w:lineRule="auto"/>
        <w:tabs>
          <w:tab w:leader="none" w:pos="1360" w:val="left"/>
        </w:tabs>
        <w:numPr>
          <w:ilvl w:val="0"/>
          <w:numId w:val="34"/>
        </w:numPr>
        <w:rPr>
          <w:rFonts w:ascii="Times New Roman" w:cs="Times New Roman" w:eastAsia="Times New Roman" w:hAnsi="Times New Roman"/>
          <w:sz w:val="17"/>
          <w:szCs w:val="17"/>
          <w:u w:val="single" w:color="auto"/>
          <w:color w:val="auto"/>
        </w:rPr>
      </w:pPr>
      <w:hyperlink r:id="rId173">
        <w:r>
          <w:rPr>
            <w:rFonts w:ascii="Times New Roman" w:cs="Times New Roman" w:eastAsia="Times New Roman" w:hAnsi="Times New Roman"/>
            <w:sz w:val="17"/>
            <w:szCs w:val="17"/>
            <w:u w:val="single" w:color="auto"/>
            <w:color w:val="auto"/>
          </w:rPr>
          <w:t>Progyny, Inc. Policy for Recovery of</w:t>
        </w:r>
      </w:hyperlink>
      <w:r>
        <w:rPr>
          <w:rFonts w:ascii="Times New Roman" w:cs="Times New Roman" w:eastAsia="Times New Roman" w:hAnsi="Times New Roman"/>
          <w:sz w:val="17"/>
          <w:szCs w:val="17"/>
          <w:u w:val="single" w:color="auto"/>
          <w:color w:val="auto"/>
        </w:rPr>
        <w:t xml:space="preserve"> </w:t>
      </w:r>
      <w:hyperlink r:id="rId173">
        <w:r>
          <w:rPr>
            <w:rFonts w:ascii="Times New Roman" w:cs="Times New Roman" w:eastAsia="Times New Roman" w:hAnsi="Times New Roman"/>
            <w:sz w:val="17"/>
            <w:szCs w:val="17"/>
            <w:u w:val="single" w:color="auto"/>
            <w:color w:val="auto"/>
          </w:rPr>
          <w:t>Erroneously Awarded Compensation.</w:t>
        </w:r>
      </w:hyperlink>
    </w:p>
    <w:p>
      <w:pPr>
        <w:spacing w:after="0" w:line="1" w:lineRule="exact"/>
        <w:rPr>
          <w:rFonts w:ascii="Times New Roman" w:cs="Times New Roman" w:eastAsia="Times New Roman" w:hAnsi="Times New Roman"/>
          <w:sz w:val="17"/>
          <w:szCs w:val="17"/>
          <w:color w:val="auto"/>
        </w:rPr>
      </w:pPr>
    </w:p>
    <w:tbl>
      <w:tblPr>
        <w:tblLayout w:type="fixed"/>
        <w:tblInd w:w="2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Schema Document.</w:t>
            </w:r>
          </w:p>
        </w:tc>
      </w:tr>
      <w:tr>
        <w:trPr>
          <w:trHeight w:val="2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Calculation Linkbase Document.</w:t>
            </w:r>
          </w:p>
        </w:tc>
      </w:tr>
      <w:tr>
        <w:trPr>
          <w:trHeight w:val="2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 Linkbase Document.</w:t>
            </w:r>
          </w:p>
        </w:tc>
      </w:tr>
      <w:tr>
        <w:trPr>
          <w:trHeight w:val="2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8"/>
              </w:rPr>
              <w:t>Inline XBRL Taxonomy Extension Label</w:t>
            </w:r>
          </w:p>
        </w:tc>
      </w:tr>
      <w:tr>
        <w:trPr>
          <w:trHeight w:val="234"/>
        </w:trPr>
        <w:tc>
          <w:tcPr>
            <w:tcW w:w="10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Linkbase Document.</w:t>
            </w:r>
          </w:p>
        </w:tc>
      </w:tr>
      <w:tr>
        <w:trPr>
          <w:trHeight w:val="225"/>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w:t>
            </w:r>
          </w:p>
        </w:tc>
      </w:tr>
      <w:tr>
        <w:trPr>
          <w:trHeight w:val="234"/>
        </w:trPr>
        <w:tc>
          <w:tcPr>
            <w:tcW w:w="1020" w:type="dxa"/>
            <w:vAlign w:val="bottom"/>
          </w:tcPr>
          <w:p>
            <w:pPr>
              <w:spacing w:after="0"/>
              <w:rPr>
                <w:sz w:val="20"/>
                <w:szCs w:val="20"/>
                <w:color w:val="auto"/>
              </w:rPr>
            </w:pPr>
          </w:p>
        </w:tc>
        <w:tc>
          <w:tcPr>
            <w:tcW w:w="3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Presentation Linkbase Document.</w:t>
            </w:r>
          </w:p>
        </w:tc>
      </w:tr>
    </w:tbl>
    <w:p>
      <w:pPr>
        <w:spacing w:after="0" w:line="22" w:lineRule="exact"/>
        <w:rPr>
          <w:rFonts w:ascii="Times New Roman" w:cs="Times New Roman" w:eastAsia="Times New Roman" w:hAnsi="Times New Roman"/>
          <w:sz w:val="17"/>
          <w:szCs w:val="17"/>
          <w:color w:val="auto"/>
        </w:rPr>
      </w:pPr>
    </w:p>
    <w:p>
      <w:pPr>
        <w:ind w:left="1360" w:right="420" w:hanging="1334"/>
        <w:spacing w:after="0" w:line="250" w:lineRule="auto"/>
        <w:tabs>
          <w:tab w:leader="none" w:pos="136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6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5080</wp:posOffset>
            </wp:positionH>
            <wp:positionV relativeFrom="paragraph">
              <wp:posOffset>-247650</wp:posOffset>
            </wp:positionV>
            <wp:extent cx="173164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4">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br w:type="column"/>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60" w:lineRule="exact"/>
        <w:rPr>
          <w:rFonts w:ascii="Times New Roman" w:cs="Times New Roman" w:eastAsia="Times New Roman" w:hAnsi="Times New Roman"/>
          <w:sz w:val="17"/>
          <w:szCs w:val="17"/>
          <w:color w:val="auto"/>
        </w:rPr>
      </w:pPr>
    </w:p>
    <w:p>
      <w:pPr>
        <w:spacing w:after="0" w:line="1" w:lineRule="exact"/>
        <w:rPr>
          <w:rFonts w:ascii="Times New Roman" w:cs="Times New Roman" w:eastAsia="Times New Roman" w:hAnsi="Times New Roman"/>
          <w:sz w:val="1"/>
          <w:szCs w:val="1"/>
          <w:color w:val="auto"/>
        </w:rPr>
      </w:pPr>
    </w:p>
    <w:tbl>
      <w:tblPr>
        <w:tblLayout w:type="fixed"/>
        <w:tblInd w:w="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001-39100</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w:t>
            </w: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8/7/2020</w:t>
            </w:r>
          </w:p>
        </w:tc>
      </w:tr>
      <w:tr>
        <w:trPr>
          <w:trHeight w:val="878"/>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10-Q</w:t>
            </w: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001-39100</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10.1</w:t>
            </w: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5/10/2024</w:t>
            </w:r>
          </w:p>
        </w:tc>
      </w:tr>
      <w:tr>
        <w:trPr>
          <w:trHeight w:val="256"/>
        </w:trPr>
        <w:tc>
          <w:tcPr>
            <w:tcW w:w="8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001-39100</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21.1</w:t>
            </w: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3/1/2022</w:t>
            </w:r>
          </w:p>
        </w:tc>
      </w:tr>
      <w:tr>
        <w:trPr>
          <w:trHeight w:val="257"/>
        </w:trPr>
        <w:tc>
          <w:tcPr>
            <w:tcW w:w="8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84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rPr>
              <w:t>*</w:t>
            </w:r>
          </w:p>
        </w:tc>
      </w:tr>
      <w:tr>
        <w:trPr>
          <w:trHeight w:val="675"/>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w:t>
            </w:r>
          </w:p>
        </w:tc>
      </w:tr>
      <w:tr>
        <w:trPr>
          <w:trHeight w:val="675"/>
        </w:trPr>
        <w:tc>
          <w:tcPr>
            <w:tcW w:w="8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40" w:type="dxa"/>
            <w:vAlign w:val="bottom"/>
          </w:tcPr>
          <w:p>
            <w:pPr>
              <w:jc w:val="center"/>
              <w:ind w:left="2370"/>
              <w:spacing w:after="0"/>
              <w:rPr>
                <w:sz w:val="20"/>
                <w:szCs w:val="20"/>
                <w:color w:val="auto"/>
              </w:rPr>
            </w:pPr>
            <w:r>
              <w:rPr>
                <w:rFonts w:ascii="Times New Roman" w:cs="Times New Roman" w:eastAsia="Times New Roman" w:hAnsi="Times New Roman"/>
                <w:sz w:val="18"/>
                <w:szCs w:val="18"/>
                <w:color w:val="auto"/>
                <w:w w:val="99"/>
              </w:rPr>
              <w:t>**</w:t>
            </w:r>
          </w:p>
        </w:tc>
      </w:tr>
      <w:tr>
        <w:trPr>
          <w:trHeight w:val="47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10-K</w:t>
            </w:r>
          </w:p>
        </w:tc>
        <w:tc>
          <w:tcPr>
            <w:tcW w:w="16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001-39100</w:t>
            </w:r>
          </w:p>
        </w:tc>
        <w:tc>
          <w:tcPr>
            <w:tcW w:w="10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97</w:t>
            </w:r>
          </w:p>
        </w:tc>
        <w:tc>
          <w:tcPr>
            <w:tcW w:w="2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2/29/2024</w:t>
            </w:r>
          </w:p>
        </w:tc>
      </w:tr>
    </w:tbl>
    <w:p>
      <w:pPr>
        <w:spacing w:after="0" w:line="200" w:lineRule="exact"/>
        <w:rPr>
          <w:rFonts w:ascii="Times New Roman" w:cs="Times New Roman" w:eastAsia="Times New Roman" w:hAnsi="Times New Roman"/>
          <w:sz w:val="17"/>
          <w:szCs w:val="17"/>
          <w:color w:val="auto"/>
        </w:rPr>
      </w:pPr>
    </w:p>
    <w:p>
      <w:pPr>
        <w:spacing w:after="0" w:line="281" w:lineRule="exact"/>
        <w:rPr>
          <w:rFonts w:ascii="Times New Roman" w:cs="Times New Roman" w:eastAsia="Times New Roman" w:hAnsi="Times New Roman"/>
          <w:sz w:val="17"/>
          <w:szCs w:val="17"/>
          <w:color w:val="auto"/>
        </w:rPr>
      </w:pPr>
    </w:p>
    <w:p>
      <w:pPr>
        <w:ind w:left="60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7"/>
          <w:szCs w:val="17"/>
          <w:color w:val="auto"/>
        </w:rPr>
      </w:pPr>
    </w:p>
    <w:p>
      <w:pPr>
        <w:ind w:left="60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7"/>
          <w:szCs w:val="17"/>
          <w:color w:val="auto"/>
        </w:rPr>
      </w:pPr>
    </w:p>
    <w:p>
      <w:pPr>
        <w:ind w:left="60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7"/>
          <w:szCs w:val="17"/>
          <w:color w:val="auto"/>
        </w:rPr>
      </w:pPr>
    </w:p>
    <w:p>
      <w:pPr>
        <w:ind w:left="60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7"/>
          <w:szCs w:val="17"/>
          <w:color w:val="auto"/>
        </w:rPr>
      </w:pPr>
    </w:p>
    <w:p>
      <w:pPr>
        <w:ind w:left="602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7"/>
          <w:szCs w:val="17"/>
          <w:color w:val="auto"/>
        </w:rPr>
      </w:pPr>
    </w:p>
    <w:p>
      <w:pPr>
        <w:ind w:left="6020"/>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315" w:lineRule="exact"/>
        <w:rPr>
          <w:rFonts w:ascii="Times New Roman" w:cs="Times New Roman" w:eastAsia="Times New Roman" w:hAnsi="Times New Roman"/>
          <w:sz w:val="17"/>
          <w:szCs w:val="17"/>
          <w:color w:val="auto"/>
        </w:rPr>
      </w:pPr>
    </w:p>
    <w:p>
      <w:pPr>
        <w:ind w:left="104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-2864485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40" w:space="160"/>
            <w:col w:w="6160"/>
          </w:cols>
          <w:pgMar w:left="320" w:top="337" w:right="9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04" w:lineRule="exact"/>
        <w:rPr>
          <w:sz w:val="20"/>
          <w:szCs w:val="20"/>
          <w:color w:val="auto"/>
        </w:rPr>
      </w:pPr>
    </w:p>
    <w:p>
      <w:pPr>
        <w:ind w:left="5540" w:right="1059" w:hanging="5532"/>
        <w:spacing w:after="0" w:line="970" w:lineRule="auto"/>
        <w:tabs>
          <w:tab w:leader="none" w:pos="14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 or arrangement in which any director or executive officer participates. 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Section 15(d)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24" w:lineRule="exact"/>
        <w:rPr>
          <w:sz w:val="20"/>
          <w:szCs w:val="20"/>
          <w:color w:val="auto"/>
        </w:rPr>
      </w:pPr>
    </w:p>
    <w:p>
      <w:pPr>
        <w:ind w:left="20"/>
        <w:spacing w:after="0"/>
        <w:tabs>
          <w:tab w:leader="none" w:pos="6080" w:val="left"/>
          <w:tab w:leader="none" w:pos="800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26035</wp:posOffset>
            </wp:positionV>
            <wp:extent cx="30861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8">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43"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Peter Anevski</w:t>
      </w:r>
    </w:p>
    <w:p>
      <w:pPr>
        <w:spacing w:after="0" w:line="50" w:lineRule="exact"/>
        <w:rPr>
          <w:sz w:val="20"/>
          <w:szCs w:val="20"/>
          <w:color w:val="auto"/>
        </w:rPr>
      </w:pPr>
    </w:p>
    <w:p>
      <w:pPr>
        <w:jc w:val="center"/>
        <w:ind w:left="63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48" w:lineRule="exact"/>
        <w:rPr>
          <w:sz w:val="20"/>
          <w:szCs w:val="20"/>
          <w:color w:val="auto"/>
        </w:rPr>
      </w:pPr>
    </w:p>
    <w:p>
      <w:pPr>
        <w:jc w:val="center"/>
        <w:ind w:left="63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Peter Anevski and Mark Livingston,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8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March 3, 2025.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3200" w:type="dxa"/>
            <w:vAlign w:val="bottom"/>
            <w:gridSpan w:val="2"/>
          </w:tcPr>
          <w:p>
            <w:pPr>
              <w:jc w:val="center"/>
              <w:ind w:right="246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b w:val="1"/>
                <w:bCs w:val="1"/>
                <w:color w:val="auto"/>
                <w:w w:val="99"/>
              </w:rPr>
              <w:t>Title</w:t>
            </w:r>
          </w:p>
        </w:tc>
      </w:tr>
      <w:tr>
        <w:trPr>
          <w:trHeight w:val="20"/>
        </w:trPr>
        <w:tc>
          <w:tcPr>
            <w:tcW w:w="2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554"/>
        </w:trPr>
        <w:tc>
          <w:tcPr>
            <w:tcW w:w="5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PETER ANEVSKI</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Peter Anevski</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MARK LIVINGSTON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Mark Livingston</w:t>
            </w:r>
          </w:p>
        </w:tc>
        <w:tc>
          <w:tcPr>
            <w:tcW w:w="4340" w:type="dxa"/>
            <w:vAlign w:val="bottom"/>
            <w:gridSpan w:val="3"/>
          </w:tcPr>
          <w:p>
            <w:pPr>
              <w:jc w:val="center"/>
              <w:ind w:left="115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47"/>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 DAVID SCHLANGER</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rPr>
              <w:t>Executive Chairman</w:t>
            </w:r>
          </w:p>
        </w:tc>
      </w:tr>
      <w:tr>
        <w:trPr>
          <w:trHeight w:val="257"/>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David Schlanger</w:t>
            </w:r>
          </w:p>
        </w:tc>
        <w:tc>
          <w:tcPr>
            <w:tcW w:w="26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493"/>
        </w:trPr>
        <w:tc>
          <w:tcPr>
            <w:tcW w:w="56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/s/ DEBRA MORRIS</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Debra Morris</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LLOYD DEAN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Lloyd Dean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FRED COHEN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Fred Cohen, M.D., D.Phil.</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33"/>
        </w:trPr>
        <w:tc>
          <w:tcPr>
            <w:tcW w:w="56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KEVIN GORDON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43"/>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Kevin Gordon</w:t>
            </w:r>
          </w:p>
        </w:tc>
        <w:tc>
          <w:tcPr>
            <w:tcW w:w="26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527"/>
        </w:trPr>
        <w:tc>
          <w:tcPr>
            <w:tcW w:w="56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ROGER HOLSTEIN</w:t>
            </w:r>
          </w:p>
        </w:tc>
        <w:tc>
          <w:tcPr>
            <w:tcW w:w="4340" w:type="dxa"/>
            <w:vAlign w:val="bottom"/>
            <w:gridSpan w:val="3"/>
          </w:tcPr>
          <w:p>
            <w:pPr>
              <w:jc w:val="center"/>
              <w:ind w:left="1130"/>
              <w:spacing w:after="0"/>
              <w:rPr>
                <w:sz w:val="20"/>
                <w:szCs w:val="20"/>
                <w:color w:val="auto"/>
              </w:rPr>
            </w:pPr>
            <w:r>
              <w:rPr>
                <w:rFonts w:ascii="Times New Roman" w:cs="Times New Roman" w:eastAsia="Times New Roman" w:hAnsi="Times New Roman"/>
                <w:sz w:val="18"/>
                <w:szCs w:val="18"/>
                <w:color w:val="auto"/>
                <w:w w:val="99"/>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35833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0">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p>
      <w:pPr>
        <w:spacing w:after="0" w:line="32"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Roger Holstein</w:t>
      </w:r>
    </w:p>
    <w:p>
      <w:pPr>
        <w:spacing w:after="0" w:line="32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/s/ JEFFREY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8330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1">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3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Jeffrey Park</w:t>
      </w:r>
    </w:p>
    <w:p>
      <w:pPr>
        <w:spacing w:after="0" w:line="33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NORMAN PAYSON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35833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2">
                      <a:extLst>
                        <a:ext uri="{28A0092B-C50C-407E-A947-70E740481C1C}"/>
                      </a:extLst>
                    </a:blip>
                    <a:srcRect/>
                    <a:stretch>
                      <a:fillRect/>
                    </a:stretch>
                  </pic:blipFill>
                  <pic:spPr bwMode="auto">
                    <a:xfrm>
                      <a:off x="0" y="0"/>
                      <a:ext cx="3583305" cy="8890"/>
                    </a:xfrm>
                    <a:prstGeom prst="rect">
                      <a:avLst/>
                    </a:prstGeom>
                    <a:noFill/>
                  </pic:spPr>
                </pic:pic>
              </a:graphicData>
            </a:graphic>
          </wp:anchor>
        </w:drawing>
      </w:r>
    </w:p>
    <w:p>
      <w:pPr>
        <w:spacing w:after="0" w:line="55"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Norman Payson, M.D.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Lead Independent Director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Director</w:t>
      </w:r>
    </w:p>
    <w:p>
      <w:pPr>
        <w:spacing w:after="0" w:line="466" w:lineRule="exact"/>
        <w:rPr>
          <w:sz w:val="20"/>
          <w:szCs w:val="20"/>
          <w:color w:val="auto"/>
        </w:rPr>
      </w:pPr>
    </w:p>
    <w:p>
      <w:pPr>
        <w:sectPr>
          <w:pgSz w:w="11900" w:h="16838" w:orient="portrait"/>
          <w:cols w:equalWidth="0" w:num="2">
            <w:col w:w="6760" w:space="720"/>
            <w:col w:w="3760"/>
          </w:cols>
          <w:pgMar w:left="320" w:top="337" w:right="339" w:bottom="1440" w:gutter="0" w:footer="0" w:header="0"/>
          <w:type w:val="continuous"/>
        </w:sectPr>
      </w:pPr>
    </w:p>
    <w:p>
      <w:pPr>
        <w:spacing w:after="0" w:line="124" w:lineRule="exact"/>
        <w:rPr>
          <w:sz w:val="20"/>
          <w:szCs w:val="20"/>
          <w:color w:val="auto"/>
        </w:rPr>
      </w:pPr>
    </w:p>
    <w:p>
      <w:pPr>
        <w:ind w:left="2060"/>
        <w:spacing w:after="0"/>
        <w:tabs>
          <w:tab w:leader="none" w:pos="8120" w:val="left"/>
        </w:tabs>
        <w:rPr>
          <w:sz w:val="20"/>
          <w:szCs w:val="20"/>
          <w:color w:val="auto"/>
        </w:rPr>
      </w:pPr>
      <w:r>
        <w:rPr>
          <w:rFonts w:ascii="Times New Roman" w:cs="Times New Roman" w:eastAsia="Times New Roman" w:hAnsi="Times New Roman"/>
          <w:sz w:val="18"/>
          <w:szCs w:val="18"/>
          <w:color w:val="auto"/>
        </w:rPr>
        <w:t>/s/ CHERYL SCOTT</w:t>
      </w:r>
      <w:r>
        <w:rPr>
          <w:sz w:val="20"/>
          <w:szCs w:val="20"/>
          <w:color w:val="auto"/>
        </w:rPr>
        <w:tab/>
      </w: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8330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3">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39"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Cheryl Scott</w:t>
      </w:r>
    </w:p>
    <w:p>
      <w:pPr>
        <w:sectPr>
          <w:pgSz w:w="11900" w:h="16838" w:orient="portrait"/>
          <w:cols w:equalWidth="0" w:num="1">
            <w:col w:w="11240"/>
          </w:cols>
          <w:pgMar w:left="320" w:top="33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240"/>
          </w:cols>
          <w:pgMar w:left="320" w:top="337" w:right="339" w:bottom="1440" w:gutter="0" w:footer="0" w:header="0"/>
          <w:type w:val="continuous"/>
        </w:sectPr>
      </w:pPr>
    </w:p>
    <w:bookmarkStart w:id="102" w:name="page103"/>
    <w:bookmarkEnd w:id="102"/>
    <w:p>
      <w:pPr>
        <w:jc w:val="right"/>
        <w:spacing w:after="0"/>
        <w:rPr>
          <w:sz w:val="20"/>
          <w:szCs w:val="20"/>
          <w:color w:val="auto"/>
        </w:rPr>
      </w:pPr>
      <w:r>
        <w:rPr>
          <w:rFonts w:ascii="Times New Roman" w:cs="Times New Roman" w:eastAsia="Times New Roman" w:hAnsi="Times New Roman"/>
          <w:sz w:val="20"/>
          <w:szCs w:val="20"/>
          <w:b w:val="1"/>
          <w:bCs w:val="1"/>
          <w:color w:val="auto"/>
        </w:rPr>
        <w:t>Exhibit 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DESCRIPTION OF PROGYNY, INC. SECURITIES</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As of December 31, 2024, Progyny, Inc. had one class of securities registered under Section 12 of the Securities Exchange Act of 1934, as</w:t>
      </w:r>
    </w:p>
    <w:p>
      <w:pPr>
        <w:spacing w:after="0" w:line="4"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amended, or the Exchange Act: our common stock, par value $0.0001 per share. When we use the words “we,” “us,” “our” or the “Company,” we are referring to Progyny, Inc.</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The following description of our capital stock is a summary and does not purport to be complete. It is subject to, and qualified in its entirety by</w:t>
      </w:r>
    </w:p>
    <w:p>
      <w:pPr>
        <w:spacing w:after="0" w:line="4"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17"/>
          <w:szCs w:val="17"/>
          <w:i w:val="1"/>
          <w:iCs w:val="1"/>
          <w:color w:val="auto"/>
        </w:rPr>
        <w:t>reference to, the applicable provisions of our amended and restated certificate of incorporation, which we refer to as our “certificate of incorporation” and our second amended and restated bylaws, which we refer to as our “bylaws.” The certificate of incorporation and bylaws are incorporated by reference as Exhibits 3.1 and 3.2, respectively, to our Annual Report on Form 10-K for the year ended December 31, 2024, of which this Exhibit 4.6 is a part. We</w:t>
      </w:r>
    </w:p>
    <w:p>
      <w:pPr>
        <w:spacing w:after="0" w:line="2"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i w:val="1"/>
          <w:iCs w:val="1"/>
          <w:color w:val="auto"/>
        </w:rPr>
        <w:t>encourage you to read our certificate of incorporation, our bylaws and the applicable provisions of the Delaware General Corporation Law for more information.</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37" w:lineRule="auto"/>
        <w:rPr>
          <w:sz w:val="20"/>
          <w:szCs w:val="20"/>
          <w:color w:val="auto"/>
        </w:rPr>
      </w:pPr>
      <w:r>
        <w:rPr>
          <w:rFonts w:ascii="Times New Roman" w:cs="Times New Roman" w:eastAsia="Times New Roman" w:hAnsi="Times New Roman"/>
          <w:sz w:val="18"/>
          <w:szCs w:val="18"/>
          <w:color w:val="auto"/>
        </w:rPr>
        <w:t>Our authorized capital stock consists of 1,100,000,000 shares, all with a par value of $0.0001 per share, consisting of 1,000,000,000 shares of common stock and 100,000,000 shares of preferred stock. Our common stock is listed on the Nasdaq Global Select Market under the symbol “PGNY.”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Common Stock</w:t>
      </w:r>
    </w:p>
    <w:p>
      <w:pPr>
        <w:spacing w:after="0" w:line="225"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Voting rights. </w:t>
      </w:r>
      <w:r>
        <w:rPr>
          <w:rFonts w:ascii="Times New Roman" w:cs="Times New Roman" w:eastAsia="Times New Roman" w:hAnsi="Times New Roman"/>
          <w:sz w:val="18"/>
          <w:szCs w:val="18"/>
          <w:color w:val="auto"/>
        </w:rPr>
        <w:t>The common stock is entitled to one vote per share on any matter that is submitted to a vote of our stockholders, including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election of directors. Our certificate of incorporation does not provide for cumulative voting for the election of directors. Accordingly, the holders of a majority of the outstanding shares of common stock entitled to vote in any election of directors can elect all of the directors standing for election, if they so</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choose, other than any directors that holders of any redeemable convertible preferred stock we may issue may be entitled to elect.</w:t>
      </w:r>
    </w:p>
    <w:p>
      <w:pPr>
        <w:spacing w:after="0" w:line="18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b w:val="1"/>
          <w:bCs w:val="1"/>
          <w:color w:val="auto"/>
        </w:rPr>
        <w:t xml:space="preserve">Dividend rights. </w:t>
      </w:r>
      <w:r>
        <w:rPr>
          <w:rFonts w:ascii="Times New Roman" w:cs="Times New Roman" w:eastAsia="Times New Roman" w:hAnsi="Times New Roman"/>
          <w:sz w:val="18"/>
          <w:szCs w:val="18"/>
          <w:color w:val="auto"/>
        </w:rPr>
        <w:t>Subject to preferences that may be applicable to any then outstanding redeemable convertible preferred stock, holders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are entitled to receive ratably those dividends, if any, as may be declared by the board of directors out of legally available funds.</w:t>
      </w:r>
    </w:p>
    <w:p>
      <w:pPr>
        <w:spacing w:after="0" w:line="19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18"/>
          <w:szCs w:val="18"/>
          <w:b w:val="1"/>
          <w:bCs w:val="1"/>
          <w:color w:val="auto"/>
        </w:rPr>
        <w:t xml:space="preserve">Rights upon liquidation. </w:t>
      </w:r>
      <w:r>
        <w:rPr>
          <w:rFonts w:ascii="Times New Roman" w:cs="Times New Roman" w:eastAsia="Times New Roman" w:hAnsi="Times New Roman"/>
          <w:sz w:val="18"/>
          <w:szCs w:val="18"/>
          <w:color w:val="auto"/>
        </w:rPr>
        <w:t>In the event of our liquidation, dissolution, or winding up, the holders of common stock will be entitled to share ratably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assets legally available for distribution to stockholders after the payment of or provision for all of our debts and other liabilities, subject to the prior rights of any redeemable convertible preferred stock then outstanding.</w:t>
      </w:r>
    </w:p>
    <w:p>
      <w:pPr>
        <w:spacing w:after="0" w:line="19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18"/>
          <w:szCs w:val="18"/>
          <w:b w:val="1"/>
          <w:bCs w:val="1"/>
          <w:color w:val="auto"/>
        </w:rPr>
        <w:t xml:space="preserve">Other rights. </w:t>
      </w:r>
      <w:r>
        <w:rPr>
          <w:rFonts w:ascii="Times New Roman" w:cs="Times New Roman" w:eastAsia="Times New Roman" w:hAnsi="Times New Roman"/>
          <w:sz w:val="18"/>
          <w:szCs w:val="18"/>
          <w:color w:val="auto"/>
        </w:rPr>
        <w:t>Holders of common stock have no preemptive or conversion rights or other subscription rights, and there are no redemption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sinking funds provisions applicable to the common stock. All outstanding shares of common stock are duly authorized, validly issued, fully paid, and nonassessable. The rights, preferences and privileges of holders of common stock are subject to and may be adversely affected by the rights of the holders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shares of any series of redeemable convertible preferred stock that we may designate and issue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Certificate of Incorporation and Bylaws</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Because our stockholders do not have cumulative voting rights, stockholders holding a majority of the voting power of our shares of common stock will be able to elect all of our directors. Our certificate of incorporation and bylaws provide for stockholder actions at a duly called meeting of stockholders, and not by consent in writing. A special meeting of stockholders may be called only by a majority of our board of directors, the chair of our</w:t>
      </w:r>
    </w:p>
    <w:p>
      <w:pPr>
        <w:spacing w:after="0" w:line="1" w:lineRule="exact"/>
        <w:rPr>
          <w:sz w:val="20"/>
          <w:szCs w:val="20"/>
          <w:color w:val="auto"/>
        </w:rPr>
      </w:pPr>
    </w:p>
    <w:p>
      <w:pPr>
        <w:jc w:val="both"/>
        <w:spacing w:after="0" w:line="207" w:lineRule="auto"/>
        <w:rPr>
          <w:sz w:val="20"/>
          <w:szCs w:val="20"/>
          <w:color w:val="auto"/>
        </w:rPr>
      </w:pPr>
      <w:r>
        <w:rPr>
          <w:rFonts w:ascii="Times New Roman" w:cs="Times New Roman" w:eastAsia="Times New Roman" w:hAnsi="Times New Roman"/>
          <w:sz w:val="18"/>
          <w:szCs w:val="18"/>
          <w:color w:val="auto"/>
        </w:rPr>
        <w:t>board of directors, our chief executive officer or our lead independent director. Our bylaws establish an advance notice procedure for stockholder proposals to be brought before an annual meeting of our stockholders, including proposed nominations of persons for election to our board of directors. In accordance with our certificate of incorporation, our board of directors is divided into three classes with staggered three-year terms. Our certificate of incorporation further provides that our directors may be removed for cause only upon the vote of at least two-thirds of our outstanding shares of voting stock. Further, our</w:t>
      </w:r>
    </w:p>
    <w:p>
      <w:pPr>
        <w:spacing w:after="0" w:line="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8"/>
          <w:szCs w:val="18"/>
          <w:color w:val="auto"/>
        </w:rPr>
        <w:t>certificate of incorporation requires the approval of our board of directors or the holders of at least two-thirds of our outstanding shares of voting stock to amend our bylaws and certain provisions of our certificate of incorporation.</w:t>
      </w:r>
    </w:p>
    <w:p>
      <w:pPr>
        <w:sectPr>
          <w:pgSz w:w="11900" w:h="16838" w:orient="portrait"/>
          <w:cols w:equalWidth="0" w:num="1">
            <w:col w:w="11240"/>
          </w:cols>
          <w:pgMar w:left="320" w:top="126" w:right="339" w:bottom="1440" w:gutter="0" w:footer="0" w:header="0"/>
        </w:sectPr>
      </w:pPr>
    </w:p>
    <w:bookmarkStart w:id="103" w:name="page104"/>
    <w:bookmarkEnd w:id="103"/>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The foregoing provisions will make it more difficult for another party to obtain control of us by replacing our board of directors. Since our board of directors has the power to retain and discharge our officers, these provisions could also make it more difficult for existing stockholders or another party</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provisions are intended to preserve our existing control structure, facilitate our continued innovation and the risk-taking that it requires,</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permit us to continue to prioritize our long-term goals rather than short-term results, enhance the likelihood of continued stability in the composition of our board of directors and its policies and to discourage certain types of transactions that may involve an actual or threatened acquisition of us. These provisions are also designed to reduce our vulnerability to an unsolicited acquisition proposal and to discourage certain tactics that may be used in proxy</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spacing w:after="0" w:line="1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DGCL, which prohibits a Delaware corporation from engaging in any business combination with any interested stockholder for a period of three years after the date that such stockholder became an interested stockholder,</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subject to certain exceptions. The existence of this provision would be expected to have an anti-takeover effect with respect to transactions not approved in advance by our board of directors, including discouraging takeover attempts that might result in a premium over the market price for the shares of our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w:t>
      </w:r>
    </w:p>
    <w:p>
      <w:pPr>
        <w:spacing w:after="0" w:line="21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18"/>
          <w:szCs w:val="18"/>
          <w:color w:val="auto"/>
        </w:rPr>
        <w:t>Our certificate of incorporation provides that the Court of Chancery of the State of Delaware (or, if and only if the Court of Chancery of the State of Delaware lacks subject matter jurisdiction, any state court located within the State of Delaware or, if and only if all such state courts lack subject matter</w:t>
      </w:r>
    </w:p>
    <w:p>
      <w:pPr>
        <w:spacing w:after="0" w:line="2" w:lineRule="exact"/>
        <w:rPr>
          <w:sz w:val="20"/>
          <w:szCs w:val="20"/>
          <w:color w:val="auto"/>
        </w:rPr>
      </w:pPr>
    </w:p>
    <w:p>
      <w:pPr>
        <w:jc w:val="both"/>
        <w:spacing w:after="0" w:line="208" w:lineRule="auto"/>
        <w:rPr>
          <w:sz w:val="20"/>
          <w:szCs w:val="20"/>
          <w:color w:val="auto"/>
        </w:rPr>
      </w:pPr>
      <w:r>
        <w:rPr>
          <w:rFonts w:ascii="Times New Roman" w:cs="Times New Roman" w:eastAsia="Times New Roman" w:hAnsi="Times New Roman"/>
          <w:sz w:val="18"/>
          <w:szCs w:val="18"/>
          <w:color w:val="auto"/>
        </w:rPr>
        <w:t>jurisdiction, the federal district court for the District of Delaware) will be the exclusive forum for actions or proceedings brought under Delaware statutory or common law, including: (1) any derivative action or proceeding brought on our behalf; (2) any action asserting a breach of fiduciary duty; (3) any action asserting a claim against us arising under the DGCL; (4) any action regarding our certificate of incorporation or our bylaws; (5) any action as to which the</w:t>
      </w:r>
    </w:p>
    <w:p>
      <w:pPr>
        <w:spacing w:after="0" w:line="2" w:lineRule="exact"/>
        <w:rPr>
          <w:sz w:val="20"/>
          <w:szCs w:val="20"/>
          <w:color w:val="auto"/>
        </w:rPr>
      </w:pPr>
    </w:p>
    <w:p>
      <w:pPr>
        <w:jc w:val="both"/>
        <w:spacing w:after="0" w:line="218" w:lineRule="auto"/>
        <w:rPr>
          <w:sz w:val="20"/>
          <w:szCs w:val="20"/>
          <w:color w:val="auto"/>
        </w:rPr>
      </w:pPr>
      <w:r>
        <w:rPr>
          <w:rFonts w:ascii="Times New Roman" w:cs="Times New Roman" w:eastAsia="Times New Roman" w:hAnsi="Times New Roman"/>
          <w:sz w:val="18"/>
          <w:szCs w:val="18"/>
          <w:color w:val="auto"/>
        </w:rPr>
        <w:t>DGCL confers jurisdiction to the Court of Chancery of the State of Delaware; or (6) any action asserting a claim against us that is governed by the internal affairs doctrine. This provision would not apply to claims brought to enforce a duty or liability created by the Exchange Act or any other claim for which the federal courts have exclusive jurisdiction.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Computershare Trust Company, N.A.</w:t>
      </w:r>
    </w:p>
    <w:p>
      <w:pPr>
        <w:sectPr>
          <w:pgSz w:w="11900" w:h="16838" w:orient="portrait"/>
          <w:cols w:equalWidth="0" w:num="1">
            <w:col w:w="11240"/>
          </w:cols>
          <w:pgMar w:left="320" w:top="140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0"/>
          <w:szCs w:val="20"/>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PROGYNY, INC.</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Statement of Policy Concerning Trading in Company Securities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w:t>
      </w:r>
    </w:p>
    <w:p>
      <w:pPr>
        <w:spacing w:after="0" w:line="213"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Summary of Policy Concerning Trading in Company Securities</w:t>
      </w:r>
    </w:p>
    <w:p>
      <w:pPr>
        <w:spacing w:after="0" w:line="243"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i w:val="1"/>
          <w:iCs w:val="1"/>
          <w:color w:val="auto"/>
        </w:rPr>
        <w:t>A.</w:t>
        <w:tab/>
        <w:t>Restrictions on Trading in Company Securities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It is the general policy of Progyny, Inc. and its subsidiaries (collectively, the “Company”) that it will, without exception, comply with all applicable laws and regulations in conducting its business; and that, when carrying out Company business, directors, officers, and employees must avoid any activity that violates applicable laws or regulations. To that end, when trading in Company securities, each director, officer, and employee of the Company and each other person listed below is expected to abide by this Statement of Policy Concerning Trading in Company Securities (such policy, the “Trading Policy”). In order to avoid even an appearance of impropriety, the Company’s directors, officers and certain other employees are subject to pre-approval requirements described below and other limitations on their ability to enter into transactions involving the Company’s securities. Although these limitations do not apply to transactions pursuant to written plans for trading securities that comply with Rule 10b5-1 under the Securities Exchange Act of 1934, as amended (the “Exchange Act”), the adoption, amendment, suspension or termination of any such written trading plan is subject to pre-approval requirements and other limitations detailed in Rule 10b5-1, including, but not limited to, applicable cooling-off periods and limitations on overlapping plans, as well as any requirements and guidelines adopted by the Company from time to time described in the Company’s Rule 10b5-1 Trading Plan Guidelines.</w:t>
      </w:r>
    </w:p>
    <w:p>
      <w:pPr>
        <w:spacing w:after="0" w:line="20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i w:val="1"/>
          <w:iCs w:val="1"/>
          <w:color w:val="auto"/>
        </w:rPr>
        <w:t>B.</w:t>
        <w:tab/>
        <w:t>Who is Subject to this Trading Policy</w:t>
      </w:r>
    </w:p>
    <w:p>
      <w:pPr>
        <w:spacing w:after="0" w:line="23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Except where stated otherwise, this Trading Policy applies to the following individuals and entities, without regard to where they are located in the U.S. or internationally. We refer to these individuals and entities collectively as “Insiders”:</w:t>
      </w:r>
    </w:p>
    <w:p>
      <w:pPr>
        <w:spacing w:after="0" w:line="173" w:lineRule="exact"/>
        <w:rPr>
          <w:sz w:val="20"/>
          <w:szCs w:val="20"/>
          <w:color w:val="auto"/>
        </w:rPr>
      </w:pPr>
    </w:p>
    <w:p>
      <w:pPr>
        <w:ind w:left="1300" w:hanging="482"/>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directors, officers, and employees of the Company and its subsidiaries;</w:t>
      </w:r>
    </w:p>
    <w:p>
      <w:pPr>
        <w:spacing w:after="0" w:line="24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contractors, consultants, and certain other persons who may have access to material non-public information of the Company;</w:t>
      </w:r>
    </w:p>
    <w:p>
      <w:pPr>
        <w:spacing w:after="0" w:line="240" w:lineRule="exact"/>
        <w:rPr>
          <w:rFonts w:ascii="Times New Roman" w:cs="Times New Roman" w:eastAsia="Times New Roman" w:hAnsi="Times New Roman"/>
          <w:sz w:val="19"/>
          <w:szCs w:val="19"/>
          <w:color w:val="auto"/>
        </w:rPr>
      </w:pPr>
    </w:p>
    <w:p>
      <w:pPr>
        <w:ind w:left="1300" w:hanging="482"/>
        <w:spacing w:after="0" w:line="255"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spouses, domestic partners, parents, minor children, siblings, mothers and fathers-in-law, sons and daughters-in-law and brothers and sisters-in-law of such directors, officers or employees (collectively, “Family Members”);</w:t>
      </w:r>
    </w:p>
    <w:p>
      <w:pPr>
        <w:spacing w:after="0" w:line="199" w:lineRule="exact"/>
        <w:rPr>
          <w:rFonts w:ascii="Times New Roman" w:cs="Times New Roman" w:eastAsia="Times New Roman" w:hAnsi="Times New Roman"/>
          <w:sz w:val="20"/>
          <w:szCs w:val="20"/>
          <w:color w:val="auto"/>
        </w:rPr>
      </w:pPr>
    </w:p>
    <w:p>
      <w:pPr>
        <w:ind w:left="1300" w:hanging="482"/>
        <w:spacing w:after="0" w:line="255"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persons who share a household with any director, officer or employee of the Company (regardless of whether or not such person is a Family Member);</w:t>
      </w:r>
    </w:p>
    <w:p>
      <w:pPr>
        <w:spacing w:after="0" w:line="19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anyone to whom directors, officers or employees provide significant financial support; and</w:t>
      </w:r>
    </w:p>
    <w:p>
      <w:pPr>
        <w:spacing w:after="0" w:line="229" w:lineRule="exact"/>
        <w:rPr>
          <w:rFonts w:ascii="Times New Roman" w:cs="Times New Roman" w:eastAsia="Times New Roman" w:hAnsi="Times New Roman"/>
          <w:sz w:val="20"/>
          <w:szCs w:val="20"/>
          <w:color w:val="auto"/>
        </w:rPr>
      </w:pPr>
    </w:p>
    <w:p>
      <w:pPr>
        <w:jc w:val="both"/>
        <w:ind w:left="1300" w:hanging="482"/>
        <w:spacing w:after="0" w:line="239" w:lineRule="auto"/>
        <w:tabs>
          <w:tab w:leader="none" w:pos="128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determined by the Company, any entity or account over which the persons listed above, have or share the power, directly or indirectly, to make investment decisions (whether or not such persons have a financial interest in the entity or account) and those entities or accounts established or maintained by such persons with their consent or knowledge and in which such persons have a direct or indirect financial interest.</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6" w:right="339" w:bottom="1440" w:gutter="0" w:footer="0" w:header="0"/>
        </w:sectPr>
      </w:pPr>
    </w:p>
    <w:bookmarkStart w:id="105" w:name="page106"/>
    <w:bookmarkEnd w:id="105"/>
    <w:p>
      <w:pPr>
        <w:spacing w:after="0" w:line="12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Because of their access to confidential information on a regular basis, this Trading Policy subjects directors, officers and certain employees (the “Window Group”) to additional restrictions on trading in Company securities as discussed in Section II.C. below. In addition, directors, officers and certain employees with knowledge of material non-public information may be subject to ad hoc restrictions on trading from time to time.</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Furthermore, the Company itself must comply with U.S. securities laws applicable to its own securities trading activities and will not effect transactions in respect of its securities, or adopt any securities repurchase plans, when it is in possession of material non-public information concerning the Company, other than in compliance with applicable law, subject to the policies and procedures adopted by the Company and attached as Exhibit A hereto, and the prior approval of the General Counsel.</w:t>
      </w:r>
    </w:p>
    <w:p>
      <w:pPr>
        <w:spacing w:after="0" w:line="195" w:lineRule="exact"/>
        <w:rPr>
          <w:sz w:val="20"/>
          <w:szCs w:val="20"/>
          <w:color w:val="auto"/>
        </w:rPr>
      </w:pPr>
    </w:p>
    <w:p>
      <w:pPr>
        <w:ind w:left="400" w:hanging="392"/>
        <w:spacing w:after="0"/>
        <w:tabs>
          <w:tab w:leader="none" w:pos="40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Prohibition on Trading in Securities While in Possession of Material Non-Public Information</w:t>
      </w:r>
    </w:p>
    <w:p>
      <w:pPr>
        <w:spacing w:after="0" w:line="229"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i w:val="1"/>
          <w:iCs w:val="1"/>
          <w:color w:val="auto"/>
        </w:rPr>
        <w:t>A.</w:t>
        <w:tab/>
        <w:t>General Rule and What is Material</w:t>
      </w:r>
    </w:p>
    <w:p>
      <w:pPr>
        <w:spacing w:after="0" w:line="24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U.S. federal securities laws prohibit Company’s Insiders from using information about the Company in the purchase and sale of securities, such as the Company’s shares of common stock, bonds, notes, debentures, limited partnership units or other equity or debt securities.</w:t>
      </w:r>
    </w:p>
    <w:p>
      <w:pPr>
        <w:spacing w:after="0" w:line="200"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For example, if an employee of a company learns material information through the course of their employment, they are prohibited from buying or selling securities (including the Company’s securities and the securities of other companies that could be impacted by such information) until such information has been adequately disclosed to the public. This is because such employee knows information that could cause the price of the security to change and has a duty to the company not to use the information for their personal gain. Trading on the basis of material non-public information is fraudulent and illegal. Civil and criminal penalties for this kind of activity are severe.</w:t>
      </w:r>
    </w:p>
    <w:p>
      <w:pPr>
        <w:spacing w:after="0" w:line="21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Information is material if there is a substantial likelihood that a reasonable investor would consider it important in making an investment decision. Material information can be favorable or unfavorable. Courts and regulators often second-guess materiality determinations with the benefit of hindsight. If you have any uncertainty about whether non-public information is material, you should consult with the General Counsel and otherwise treat it as if it were material. Some examples of information that could be considered material include:</w:t>
      </w:r>
    </w:p>
    <w:p>
      <w:pPr>
        <w:spacing w:after="0" w:line="218" w:lineRule="exact"/>
        <w:rPr>
          <w:sz w:val="20"/>
          <w:szCs w:val="20"/>
          <w:color w:val="auto"/>
        </w:rPr>
      </w:pPr>
    </w:p>
    <w:p>
      <w:pPr>
        <w:ind w:left="1300" w:hanging="482"/>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the Company’s prospects or key performance indicators;</w:t>
      </w:r>
    </w:p>
    <w:p>
      <w:pPr>
        <w:spacing w:after="0" w:line="22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anticipated or targeted revenue, earnings, dividends and other financial information;</w:t>
      </w:r>
    </w:p>
    <w:p>
      <w:pPr>
        <w:spacing w:after="0" w:line="229" w:lineRule="exact"/>
        <w:rPr>
          <w:rFonts w:ascii="Times New Roman" w:cs="Times New Roman" w:eastAsia="Times New Roman" w:hAnsi="Times New Roman"/>
          <w:sz w:val="20"/>
          <w:szCs w:val="20"/>
          <w:color w:val="auto"/>
        </w:rPr>
      </w:pPr>
    </w:p>
    <w:p>
      <w:pPr>
        <w:ind w:left="1300" w:hanging="482"/>
        <w:spacing w:after="0" w:line="269" w:lineRule="auto"/>
        <w:tabs>
          <w:tab w:leader="none" w:pos="12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developments that could affect the Company’s financial performance or forecasts, such as changes in the Company’s relationship (contractual or otherwise) with a key client or vendor;</w:t>
      </w:r>
    </w:p>
    <w:p>
      <w:pPr>
        <w:spacing w:after="0" w:line="17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sales and other significant internal business forecasts or a change in previously released estimates;</w:t>
      </w:r>
    </w:p>
    <w:p>
      <w:pPr>
        <w:spacing w:after="0" w:line="242" w:lineRule="exact"/>
        <w:rPr>
          <w:rFonts w:ascii="Times New Roman" w:cs="Times New Roman" w:eastAsia="Times New Roman" w:hAnsi="Times New Roman"/>
          <w:sz w:val="20"/>
          <w:szCs w:val="20"/>
          <w:color w:val="auto"/>
        </w:rPr>
      </w:pPr>
    </w:p>
    <w:p>
      <w:pPr>
        <w:ind w:left="1300" w:hanging="482"/>
        <w:spacing w:after="0" w:line="255" w:lineRule="auto"/>
        <w:tabs>
          <w:tab w:leader="none" w:pos="1288"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proposed mergers, business acquisitions, tender offers, joint ventures, restructurings, dispositions or the expansion or curtailment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22" w:lineRule="exact"/>
        <w:rPr>
          <w:sz w:val="20"/>
          <w:szCs w:val="20"/>
          <w:color w:val="auto"/>
        </w:rPr>
      </w:pPr>
    </w:p>
    <w:p>
      <w:pPr>
        <w:jc w:val="both"/>
        <w:ind w:left="1300" w:hanging="482"/>
        <w:spacing w:after="0" w:line="247" w:lineRule="auto"/>
        <w:tabs>
          <w:tab w:leader="none" w:pos="1288"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cybersecurity or data protection events, including, but not limited to, any breach of information systems that compromises the functioning of the Company’s information or other systems or results in the exposure or loss of customer information;</w:t>
      </w:r>
    </w:p>
    <w:p>
      <w:pPr>
        <w:spacing w:after="0" w:line="194"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proposed equity or debt offerings or significant borrowing;</w:t>
      </w:r>
    </w:p>
    <w:p>
      <w:pPr>
        <w:spacing w:after="0" w:line="22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debt ratings or analyst upgrades or downgrades of the Company or one of its securities;</w:t>
      </w:r>
    </w:p>
    <w:p>
      <w:pPr>
        <w:spacing w:after="0" w:line="24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significant changes in accounting treatment, write-offs or effective tax rate or financial restatements;</w:t>
      </w:r>
    </w:p>
    <w:p>
      <w:pPr>
        <w:spacing w:after="0" w:line="22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pending or threatened significant litigation or governmental investigation or the resolution of such matters;</w:t>
      </w:r>
    </w:p>
    <w:p>
      <w:pPr>
        <w:spacing w:after="0" w:line="24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liquidity problems or impending bankruptcy;</w:t>
      </w:r>
    </w:p>
    <w:p>
      <w:pPr>
        <w:spacing w:after="0" w:line="22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auditor notification that the Company may no longer rely on an audit report;</w:t>
      </w:r>
    </w:p>
    <w:p>
      <w:pPr>
        <w:spacing w:after="0" w:line="229"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the membership of board of directors or executive leadership; and</w:t>
      </w:r>
    </w:p>
    <w:p>
      <w:pPr>
        <w:spacing w:after="0" w:line="242" w:lineRule="exact"/>
        <w:rPr>
          <w:rFonts w:ascii="Times New Roman" w:cs="Times New Roman" w:eastAsia="Times New Roman" w:hAnsi="Times New Roman"/>
          <w:sz w:val="20"/>
          <w:szCs w:val="20"/>
          <w:color w:val="auto"/>
        </w:rPr>
      </w:pPr>
    </w:p>
    <w:p>
      <w:pPr>
        <w:ind w:left="1300" w:hanging="482"/>
        <w:spacing w:after="0"/>
        <w:tabs>
          <w:tab w:leader="none" w:pos="13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stock splits, repurchase plans or other corporate actions.</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this Trading Policy, we use the term “non-public information” to refer to information that has not been publicly disclosed in a manner making it available to investors generally on a broad-based non-exclusionary basis (for example, the filing of a Form 8-K or issuance of a press release) and/or the investing public has not had time to fully absorb the information. If it is not clear whether material information has been sufficiently publicized, it should be treated as if it is non-public information. Furthermore, it is illegal for any Insider in possession of material non-public information to provide other people with such information or to recommend that they buy or sell the securities (this is called “tipping”). In that case, the tipper and the tippee may both be held liable.</w:t>
      </w:r>
    </w:p>
    <w:p>
      <w:pPr>
        <w:spacing w:after="0" w:line="21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Information obtained in the course of employment or service as a director, contractor or consultant does not belong to individual Insiders who may handle it or otherwise become knowledgeable about it. The information is an asset of the Company. Any person who uses such information for personal benefit or discloses it to others outside the Company without authorization violates their confidentiality obligations to the Company and may be in breach of their fiduciary, loyalty or other duties to the Company. More particularly, trading on the basis of non-public information of the Company harms the Company and its investors.</w:t>
      </w:r>
    </w:p>
    <w:p>
      <w:pPr>
        <w:spacing w:after="0" w:line="20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The Securities and Exchange Commission (the “SEC”), the Financial Industry Regulatory Authority (“FINRA”), prosecutors and plaintiffs’ lawyers devote considerable resources to identifying insider trading. A breach of the insider trading laws could expose an Insider or anyone who trades on information provided by an Insider to criminal fines and imprisonment, in addition to civil penalties and injunctive actions. Even if allegations of insider trading do not lead to a conviction, defending against such allegations is expensive. In addition, the mere perception that an Insider traded with the knowledge of material non-public information could harm the reputation of the Company and that Insider. Accordingly, this Trading Policy is in some cases more restrictive than what applicable insider trading laws might otherwise require.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1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i w:val="1"/>
          <w:iCs w:val="1"/>
          <w:color w:val="auto"/>
        </w:rPr>
        <w:t>B.</w:t>
        <w:tab/>
        <w:t>Guidelines</w:t>
      </w:r>
    </w:p>
    <w:p>
      <w:pPr>
        <w:spacing w:after="0" w:line="23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The following guidelines should be followed to ensure compliance with applicable anti-fraud laws and with this Trading Policy and other applicable Company policies:</w:t>
      </w:r>
    </w:p>
    <w:p>
      <w:pPr>
        <w:spacing w:after="0" w:line="169" w:lineRule="exact"/>
        <w:rPr>
          <w:sz w:val="20"/>
          <w:szCs w:val="20"/>
          <w:color w:val="auto"/>
        </w:rPr>
      </w:pPr>
    </w:p>
    <w:p>
      <w:pPr>
        <w:jc w:val="both"/>
        <w:ind w:left="980" w:hanging="324"/>
        <w:spacing w:after="0" w:line="249" w:lineRule="auto"/>
        <w:tabs>
          <w:tab w:leader="none" w:pos="9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Nondisclosure</w:t>
      </w:r>
      <w:r>
        <w:rPr>
          <w:rFonts w:ascii="Times New Roman" w:cs="Times New Roman" w:eastAsia="Times New Roman" w:hAnsi="Times New Roman"/>
          <w:sz w:val="20"/>
          <w:szCs w:val="20"/>
          <w:color w:val="auto"/>
        </w:rPr>
        <w:t>. Material non-public information must not be disclosed to anyone, except to persons within the Company whose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positions require them to know it or with prior approval of the General Counsel. No Insider should discuss material non-public information in public places or in common areas on Company property.</w:t>
      </w:r>
    </w:p>
    <w:p>
      <w:pPr>
        <w:spacing w:after="0" w:line="188" w:lineRule="exact"/>
        <w:rPr>
          <w:rFonts w:ascii="Times New Roman" w:cs="Times New Roman" w:eastAsia="Times New Roman" w:hAnsi="Times New Roman"/>
          <w:sz w:val="20"/>
          <w:szCs w:val="20"/>
          <w:color w:val="auto"/>
        </w:rPr>
      </w:pPr>
    </w:p>
    <w:p>
      <w:pPr>
        <w:jc w:val="both"/>
        <w:ind w:left="980" w:hanging="324"/>
        <w:spacing w:after="0" w:line="235" w:lineRule="auto"/>
        <w:tabs>
          <w:tab w:leader="none" w:pos="9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Trading in Company Securities</w:t>
      </w:r>
      <w:r>
        <w:rPr>
          <w:rFonts w:ascii="Times New Roman" w:cs="Times New Roman" w:eastAsia="Times New Roman" w:hAnsi="Times New Roman"/>
          <w:sz w:val="20"/>
          <w:szCs w:val="20"/>
          <w:color w:val="auto"/>
        </w:rPr>
        <w:t>. No Insider may place a purchase or sale order, or recommend that another person place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purchase or sale order, in the Company’s securities when such Insider has knowledge of material information concerning the Company that has not been disclosed to the public. This includes orders for purchases and sales of stock, convertible securities and other securities (e.g., bonds) and increasing or decreasing investment in Company securities through a retirement account. Except as provided in Section II.C.3. below, the exercise of employee stock options for cash and participating in the Company’s employee stock purchase plan are not subject to this Trading Policy. However, the purchase of stock upon the exercise of options and the sale of stock that was acquired upon exercise of a stock option will be treated like any other stock and may not be sold by an Insider who is in possession of material non-public information, including in a “cashless” exercise because this involves a market sale. Any Insider who possesses material non-public information should wait until after one full trading day after the information has been publicly released before trading, except as otherwise set forth in this Trading Policy or as otherwise directed by the General Counsel. There is no exception to this Trading Policy, even for hardship to the Insider or based on the use of proceeds (such as making a mortgage payment or for an emergency expenditure).</w:t>
      </w:r>
    </w:p>
    <w:p>
      <w:pPr>
        <w:spacing w:after="0" w:line="200" w:lineRule="exact"/>
        <w:rPr>
          <w:rFonts w:ascii="Times New Roman" w:cs="Times New Roman" w:eastAsia="Times New Roman" w:hAnsi="Times New Roman"/>
          <w:sz w:val="20"/>
          <w:szCs w:val="20"/>
          <w:color w:val="auto"/>
        </w:rPr>
      </w:pPr>
    </w:p>
    <w:p>
      <w:pPr>
        <w:jc w:val="both"/>
        <w:ind w:left="980" w:hanging="324"/>
        <w:spacing w:after="0" w:line="238" w:lineRule="auto"/>
        <w:tabs>
          <w:tab w:leader="none" w:pos="9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Trading in Another Company’s Securities</w:t>
      </w:r>
      <w:r>
        <w:rPr>
          <w:rFonts w:ascii="Times New Roman" w:cs="Times New Roman" w:eastAsia="Times New Roman" w:hAnsi="Times New Roman"/>
          <w:sz w:val="20"/>
          <w:szCs w:val="20"/>
          <w:color w:val="auto"/>
        </w:rPr>
        <w:t>. No Insider should place a purchase or sale order (including investment through a</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retirement account), or recommend that another person place a purchase or sale order, in the securities of another company, if the Insider learns in the course of their employment or service as a director, contractor or consultant material non-public information that is likely to affect the value of those securities. For example, it would be a violation of the securities laws if a Company employee learned through their role at the Company that the Company intended to amend or terminate a material client or vendor contract and then placed an order to buy or sell stock in that client or vendor company because of the likely increase or decrease in the value of its securities.</w:t>
      </w:r>
    </w:p>
    <w:p>
      <w:pPr>
        <w:spacing w:after="0" w:line="199" w:lineRule="exact"/>
        <w:rPr>
          <w:rFonts w:ascii="Times New Roman" w:cs="Times New Roman" w:eastAsia="Times New Roman" w:hAnsi="Times New Roman"/>
          <w:sz w:val="20"/>
          <w:szCs w:val="20"/>
          <w:color w:val="auto"/>
        </w:rPr>
      </w:pPr>
    </w:p>
    <w:p>
      <w:pPr>
        <w:jc w:val="both"/>
        <w:ind w:left="980" w:hanging="324"/>
        <w:spacing w:after="0" w:line="238" w:lineRule="auto"/>
        <w:tabs>
          <w:tab w:leader="none" w:pos="9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Avoid Speculation</w:t>
      </w:r>
      <w:r>
        <w:rPr>
          <w:rFonts w:ascii="Times New Roman" w:cs="Times New Roman" w:eastAsia="Times New Roman" w:hAnsi="Times New Roman"/>
          <w:sz w:val="20"/>
          <w:szCs w:val="20"/>
          <w:color w:val="auto"/>
        </w:rPr>
        <w:t>. Investing in the Company’s common stock or other securities provides an opportunity to share in the future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growth of the Company. But investment in the Company and sharing in the growth of the Company does not mean short range speculation based on fluctuations in the market. Such activities put the personal gain of an Insider in conflict with the best interests of the Company and its stockholders. Although this Trading Policy does not mean that Insiders may never sell shares, the Company encourages Insiders to avoid frequent trading in Company stock. Speculating in Company stock is not part of the Company’s culture.</w:t>
      </w:r>
    </w:p>
    <w:p>
      <w:pPr>
        <w:spacing w:after="0" w:line="211" w:lineRule="exact"/>
        <w:rPr>
          <w:rFonts w:ascii="Times New Roman" w:cs="Times New Roman" w:eastAsia="Times New Roman" w:hAnsi="Times New Roman"/>
          <w:sz w:val="20"/>
          <w:szCs w:val="20"/>
          <w:color w:val="auto"/>
        </w:rPr>
      </w:pPr>
    </w:p>
    <w:p>
      <w:pPr>
        <w:ind w:left="380" w:hanging="372"/>
        <w:spacing w:after="0"/>
        <w:tabs>
          <w:tab w:leader="none" w:pos="380" w:val="left"/>
        </w:tabs>
        <w:numPr>
          <w:ilvl w:val="0"/>
          <w:numId w:val="43"/>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Additional Restrictions on the Window Group</w:t>
      </w:r>
    </w:p>
    <w:p>
      <w:pPr>
        <w:spacing w:after="0" w:line="229" w:lineRule="exact"/>
        <w:rPr>
          <w:rFonts w:ascii="Times New Roman" w:cs="Times New Roman" w:eastAsia="Times New Roman" w:hAnsi="Times New Roman"/>
          <w:sz w:val="20"/>
          <w:szCs w:val="20"/>
          <w:b w:val="1"/>
          <w:bCs w:val="1"/>
          <w:i w:val="1"/>
          <w:iCs w:val="1"/>
          <w:color w:val="auto"/>
        </w:rPr>
      </w:pPr>
    </w:p>
    <w:p>
      <w:pPr>
        <w:jc w:val="both"/>
        <w:ind w:left="980" w:hanging="324"/>
        <w:spacing w:after="0" w:line="249" w:lineRule="auto"/>
        <w:tabs>
          <w:tab w:leader="none" w:pos="980"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Window Group Defined</w:t>
      </w:r>
      <w:r>
        <w:rPr>
          <w:rFonts w:ascii="Times New Roman" w:cs="Times New Roman" w:eastAsia="Times New Roman" w:hAnsi="Times New Roman"/>
          <w:sz w:val="20"/>
          <w:szCs w:val="20"/>
          <w:color w:val="auto"/>
        </w:rPr>
        <w:t>. The Window Group consists of (i) directors and executive officers of the Company and their executive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assistants and Family Members, (ii) certain employees who may have regular or specific access to material non-public information of the Company</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22"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20"/>
          <w:szCs w:val="20"/>
          <w:color w:val="auto"/>
        </w:rPr>
        <w:t>as a result of their positions with the Company and (iii) such other persons and entities as may be designated from time to time and informed of such status by the Company’s General Counsel.</w:t>
      </w:r>
    </w:p>
    <w:p>
      <w:pPr>
        <w:spacing w:after="0" w:line="196" w:lineRule="exact"/>
        <w:rPr>
          <w:sz w:val="20"/>
          <w:szCs w:val="20"/>
          <w:color w:val="auto"/>
        </w:rPr>
      </w:pPr>
    </w:p>
    <w:p>
      <w:pPr>
        <w:jc w:val="both"/>
        <w:ind w:left="980" w:hanging="324"/>
        <w:spacing w:after="0" w:line="236" w:lineRule="auto"/>
        <w:tabs>
          <w:tab w:leader="none" w:pos="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Trading Window</w:t>
      </w:r>
      <w:r>
        <w:rPr>
          <w:rFonts w:ascii="Times New Roman" w:cs="Times New Roman" w:eastAsia="Times New Roman" w:hAnsi="Times New Roman"/>
          <w:sz w:val="20"/>
          <w:szCs w:val="20"/>
          <w:color w:val="auto"/>
        </w:rPr>
        <w:t>. Trading by the Window Group is permitted only after the completion of one full trading day following an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earnings release with respect to the preceding fiscal period until the thirtieth calendar day prior to an earnings release for the then-current fiscal quarter, except for the fourth quarter of a fiscal year, in which case trading will be permitted until the last calendar day of the quarter (the “Window”). From time to time, the General Counsel may determine that no trades may occur even during the Window when clearance is requested. This may occur as a result of a material development that has not yet been publicly disclosed. No reasons may be provided, and the closing of the Window may itself constitute material non-public information that should not be communicated.</w:t>
      </w:r>
    </w:p>
    <w:p>
      <w:pPr>
        <w:spacing w:after="0" w:line="198" w:lineRule="exact"/>
        <w:rPr>
          <w:rFonts w:ascii="Times New Roman" w:cs="Times New Roman" w:eastAsia="Times New Roman" w:hAnsi="Times New Roman"/>
          <w:sz w:val="20"/>
          <w:szCs w:val="20"/>
          <w:color w:val="auto"/>
        </w:rPr>
      </w:pPr>
    </w:p>
    <w:p>
      <w:pPr>
        <w:jc w:val="both"/>
        <w:ind w:left="980" w:hanging="324"/>
        <w:spacing w:after="0" w:line="249" w:lineRule="auto"/>
        <w:tabs>
          <w:tab w:leader="none" w:pos="9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Pre-Clearance</w:t>
      </w:r>
      <w:r>
        <w:rPr>
          <w:rFonts w:ascii="Times New Roman" w:cs="Times New Roman" w:eastAsia="Times New Roman" w:hAnsi="Times New Roman"/>
          <w:sz w:val="20"/>
          <w:szCs w:val="20"/>
          <w:color w:val="auto"/>
        </w:rPr>
        <w:t>. All transactions by Window Group members, including the exercise of any options, are subject to prior review</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and clearance by the General Counsel. Notwithstanding pre-clearance, every person is individually responsible for their compliance with this Trading Policy and with applicable insider trading laws.</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 restrictions set forth in Sections II. B. and II.C. do not apply to transactions pursuant to written plans for trading securities that comply with Rule 10b5-1 under the Exchange Act (“10b5-1 Plans”). However, Window Group members may not enter into, amend or terminate a 10b5-1 Plan relating to Company securities without the prior approval of the General Counsel, which will only be given during a Window period and only if the Window Group member does not have knowledge of material non-public information.</w:t>
      </w:r>
    </w:p>
    <w:p>
      <w:pPr>
        <w:spacing w:after="0" w:line="2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i w:val="1"/>
          <w:iCs w:val="1"/>
          <w:color w:val="auto"/>
        </w:rPr>
        <w:t>D.</w:t>
        <w:tab/>
        <w:t>Hedging and Derivatives</w:t>
      </w:r>
    </w:p>
    <w:p>
      <w:pPr>
        <w:spacing w:after="0" w:line="24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Insiders are prohibited from engaging in any derivative transactions (including transactions involving options, puts, calls, prepaid variable forward contracts, equity swaps, collars or other derivatives) that are designed to hedge or speculate on any change in the market value of the Company’s equity securities. As discussed below, Insiders are also prohibited from shorting the Company’s securities.</w:t>
      </w:r>
    </w:p>
    <w:p>
      <w:pPr>
        <w:spacing w:after="0" w:line="1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Trading in options or other derivatives is generally highly speculative and very risky. Individuals who buy options are betting that the stock price will move rapidly. For that reason, when a person trades in options in their employer’s stock, it may arouse suspicion by the SEC that such person was trading on the basis of material non-public information, particularly where the trading occurs before a company announcement or major event. It is difficult for a director, officer or employee to prove that they did not know about the announcement or event.</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If the SEC or FINRA were to notice active options trading by one or more directors, officers or employees of the Company prior to an announcement or event, they would likely investigate. Such an investigation could be embarrassing to the Company (as well as expensive) and could result in severe penalties and expense for the persons involved. For all of these reasons, the Company prohibits Insiders from engaging in derivative transactions as described above involving the Company’s stock.</w:t>
      </w:r>
    </w:p>
    <w:p>
      <w:pPr>
        <w:spacing w:after="0" w:line="21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20"/>
          <w:szCs w:val="20"/>
          <w:b w:val="1"/>
          <w:bCs w:val="1"/>
          <w:i w:val="1"/>
          <w:iCs w:val="1"/>
          <w:color w:val="auto"/>
        </w:rPr>
        <w:t>E.</w:t>
        <w:tab/>
        <w:t>Pledging of Securities, Margin Accounts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Pledged securities may be sold by the pledgee without the pledgor’s consent under certain conditions. For example, securities held in a margin account may be sold by a broker without the customer’s consent if the customer fails to meet a margin call. Because such a sale may occur at a time when an Insider has material non-public information or is otherwise not permitted to trade in Company securities, the</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color w:val="auto"/>
        </w:rPr>
        <w:t>Company prohibits Insiders from pledging Company securities under any circumstance, including by purchasing Company securities on margin or holding Company securities in a margin account.</w:t>
      </w:r>
    </w:p>
    <w:p>
      <w:pPr>
        <w:spacing w:after="0" w:line="196"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20"/>
          <w:szCs w:val="20"/>
          <w:b w:val="1"/>
          <w:bCs w:val="1"/>
          <w:i w:val="1"/>
          <w:iCs w:val="1"/>
          <w:color w:val="auto"/>
        </w:rPr>
        <w:t>F.</w:t>
      </w:r>
      <w:r>
        <w:rPr>
          <w:sz w:val="20"/>
          <w:szCs w:val="20"/>
          <w:color w:val="auto"/>
        </w:rPr>
        <w:tab/>
      </w:r>
      <w:r>
        <w:rPr>
          <w:rFonts w:ascii="Times New Roman" w:cs="Times New Roman" w:eastAsia="Times New Roman" w:hAnsi="Times New Roman"/>
          <w:sz w:val="19"/>
          <w:szCs w:val="19"/>
          <w:b w:val="1"/>
          <w:bCs w:val="1"/>
          <w:i w:val="1"/>
          <w:iCs w:val="1"/>
          <w:color w:val="auto"/>
        </w:rPr>
        <w:t>Applicability of U.S. Securities Laws to International Transactions</w:t>
      </w:r>
    </w:p>
    <w:p>
      <w:pPr>
        <w:spacing w:after="0" w:line="23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All Insiders of the Company, which includes its domestic and international subsidiaries, are subject to this Trading Policy. In addition, U.S. securities laws may be applicable to trades in the Company’s securities executed outside the United States or by an employee is located outside the United States. Transactions involving securities of subsidiaries or affiliates should be carefully reviewed by outside legal counsel for compliance not only with applicable local law but also for possible application of U.S. securities laws.</w:t>
      </w:r>
    </w:p>
    <w:p>
      <w:pPr>
        <w:spacing w:after="0" w:line="214"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i w:val="1"/>
          <w:iCs w:val="1"/>
          <w:color w:val="auto"/>
        </w:rPr>
        <w:t>G.</w:t>
        <w:tab/>
        <w:t>Gifts of Securities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Unless otherwise approved by the General Counsel in limited circumstances, gifts of Company securities should only be made (i) when an Insider is not in possession of material non-public information and (ii) during a Window. Gifts of Company securities are otherwise subject to this Trading Policy, including the guidelines and restrictions set forth under sections II.B. and II.C.</w:t>
      </w:r>
    </w:p>
    <w:p>
      <w:pPr>
        <w:spacing w:after="0" w:line="19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20"/>
          <w:szCs w:val="20"/>
          <w:b w:val="1"/>
          <w:bCs w:val="1"/>
          <w:i w:val="1"/>
          <w:iCs w:val="1"/>
          <w:color w:val="auto"/>
        </w:rPr>
        <w:t>H.</w:t>
      </w:r>
      <w:r>
        <w:rPr>
          <w:sz w:val="20"/>
          <w:szCs w:val="20"/>
          <w:color w:val="auto"/>
        </w:rPr>
        <w:tab/>
      </w:r>
      <w:r>
        <w:rPr>
          <w:rFonts w:ascii="Times New Roman" w:cs="Times New Roman" w:eastAsia="Times New Roman" w:hAnsi="Times New Roman"/>
          <w:sz w:val="19"/>
          <w:szCs w:val="19"/>
          <w:b w:val="1"/>
          <w:bCs w:val="1"/>
          <w:i w:val="1"/>
          <w:iCs w:val="1"/>
          <w:color w:val="auto"/>
        </w:rPr>
        <w:t>Affiliated Fund Sales and Distributions</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Sales and distributions of Company securities by a venture capital partnership, private equity fund or other similar entity with which a Company director is affiliated to its partners, members or other similar persons are generally subject to this Trading Policy, unless the entity provides evidence satisfactory to the General Counsel that such entity has adequate policies and procedures in place to ensure that individuals making investment decisions on its behalf would not violate insider trading laws. It is the responsibility of each affected director and the affiliated entity, in consultation with their own counsel, to determine the process and timing for any such sales or distributions based on all relevant facts and circumstances and applicable securities laws.</w:t>
      </w:r>
    </w:p>
    <w:p>
      <w:pPr>
        <w:spacing w:after="0" w:line="19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20"/>
          <w:szCs w:val="20"/>
          <w:b w:val="1"/>
          <w:bCs w:val="1"/>
          <w:i w:val="1"/>
          <w:iCs w:val="1"/>
          <w:color w:val="auto"/>
        </w:rPr>
        <w:t>I.</w:t>
      </w:r>
      <w:r>
        <w:rPr>
          <w:sz w:val="20"/>
          <w:szCs w:val="20"/>
          <w:color w:val="auto"/>
        </w:rPr>
        <w:tab/>
      </w:r>
      <w:r>
        <w:rPr>
          <w:rFonts w:ascii="Times New Roman" w:cs="Times New Roman" w:eastAsia="Times New Roman" w:hAnsi="Times New Roman"/>
          <w:sz w:val="19"/>
          <w:szCs w:val="19"/>
          <w:b w:val="1"/>
          <w:bCs w:val="1"/>
          <w:i w:val="1"/>
          <w:iCs w:val="1"/>
          <w:color w:val="auto"/>
        </w:rPr>
        <w:t>Applicability Following Termination of Employment, Service or Affiliation</w:t>
      </w:r>
    </w:p>
    <w:p>
      <w:pPr>
        <w:spacing w:after="0" w:line="24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The prohibition on trading in the Company’s securities or in the securities of another Company while in possession of material non-public information continues even after an Insider’s employment, service or affiliation with the Company terminates. Insiders whose employment, service or affiliation with the Company terminates will continue to be subject to the additional restrictions of this Trading Policy until the later of (i) completion of one full trading day following the first earnings release after an Insider’s last day of employment, service or affiliation or (ii) ninety days after an Insider’s last day of employment, service or affiliation.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0"/>
          <w:szCs w:val="20"/>
          <w:b w:val="1"/>
          <w:bCs w:val="1"/>
          <w:color w:val="auto"/>
        </w:rPr>
        <w:t>Company Trading Policies and Procedures</w:t>
      </w: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These policies and procedures govern repurchases of the Company’s equity securities (“Repurchases”) approved from time to time by the Board of Directors (the “Board”) of the Company to help ensure that such Repurchases are not made, or a share repurchase plan is not adopted, when the Company is in possession of material non-public information concerning the Company (“MNPI”). Capitalized terms used but not defined herein have the respective meanings given to them in the Company’s Trading Policy.</w:t>
      </w:r>
    </w:p>
    <w:p>
      <w:pPr>
        <w:spacing w:after="0" w:line="200" w:lineRule="exact"/>
        <w:rPr>
          <w:sz w:val="20"/>
          <w:szCs w:val="20"/>
          <w:color w:val="auto"/>
        </w:rPr>
      </w:pPr>
    </w:p>
    <w:p>
      <w:pPr>
        <w:ind w:left="260" w:firstLine="396"/>
        <w:spacing w:after="0" w:line="300" w:lineRule="auto"/>
        <w:tabs>
          <w:tab w:leader="none" w:pos="1313"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Policy</w:t>
      </w:r>
      <w:r>
        <w:rPr>
          <w:rFonts w:ascii="Times New Roman" w:cs="Times New Roman" w:eastAsia="Times New Roman" w:hAnsi="Times New Roman"/>
          <w:sz w:val="19"/>
          <w:szCs w:val="19"/>
          <w:color w:val="auto"/>
        </w:rPr>
        <w:t>. It is the Company’s policy that no Repurchases may take place outside a Window or when the Company is otherwise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in possession of MNPI, other than Repurchases made pursuant to a Rule 10b5-1 Plan or otherwise in compliance with applicable law.</w:t>
      </w:r>
    </w:p>
    <w:p>
      <w:pPr>
        <w:spacing w:after="0" w:line="142" w:lineRule="exact"/>
        <w:rPr>
          <w:rFonts w:ascii="Times New Roman" w:cs="Times New Roman" w:eastAsia="Times New Roman" w:hAnsi="Times New Roman"/>
          <w:sz w:val="19"/>
          <w:szCs w:val="19"/>
          <w:color w:val="auto"/>
        </w:rPr>
      </w:pPr>
    </w:p>
    <w:p>
      <w:pPr>
        <w:ind w:left="1300" w:hanging="644"/>
        <w:spacing w:after="0"/>
        <w:tabs>
          <w:tab w:leader="none" w:pos="1300"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Trading Activity</w:t>
      </w:r>
      <w:r>
        <w:rPr>
          <w:rFonts w:ascii="Times New Roman" w:cs="Times New Roman" w:eastAsia="Times New Roman" w:hAnsi="Times New Roman"/>
          <w:sz w:val="19"/>
          <w:szCs w:val="19"/>
          <w:color w:val="auto"/>
        </w:rPr>
        <w:t>. Any Repurchases (other than Repurchases made pursuant to a Rule 10b5-1 Plan), or the adoption of a Rule</w:t>
      </w:r>
    </w:p>
    <w:p>
      <w:pPr>
        <w:spacing w:after="0" w:line="23" w:lineRule="exact"/>
        <w:rPr>
          <w:rFonts w:ascii="Times New Roman" w:cs="Times New Roman" w:eastAsia="Times New Roman" w:hAnsi="Times New Roman"/>
          <w:sz w:val="19"/>
          <w:szCs w:val="19"/>
          <w:color w:val="auto"/>
        </w:rPr>
      </w:pPr>
    </w:p>
    <w:p>
      <w:pPr>
        <w:ind w:left="2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10b5-1 Plan to effect Repurchases, shall be subject to the following procedures:</w:t>
      </w:r>
    </w:p>
    <w:p>
      <w:pPr>
        <w:spacing w:after="0" w:line="220" w:lineRule="exact"/>
        <w:rPr>
          <w:rFonts w:ascii="Times New Roman" w:cs="Times New Roman" w:eastAsia="Times New Roman" w:hAnsi="Times New Roman"/>
          <w:sz w:val="19"/>
          <w:szCs w:val="19"/>
          <w:color w:val="auto"/>
        </w:rPr>
      </w:pPr>
    </w:p>
    <w:p>
      <w:pPr>
        <w:jc w:val="both"/>
        <w:ind w:left="660" w:firstLine="644"/>
        <w:spacing w:after="0" w:line="239" w:lineRule="auto"/>
        <w:tabs>
          <w:tab w:leader="none" w:pos="1797"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adoption of a Rule 10b5-1 Plan shall be subject to prior written approval by the General Counsel. The General Counsel shall take such steps as they deem reasonably necessary to ascertain that the Company is not in possession of MNPI at the time of plan adoption, including, but not limited to, consulting with other members of senior management (each, an “Authorized Officer”) and/or outside legal counsel.</w:t>
      </w:r>
    </w:p>
    <w:p>
      <w:pPr>
        <w:spacing w:after="0" w:line="217" w:lineRule="exact"/>
        <w:rPr>
          <w:rFonts w:ascii="Times New Roman" w:cs="Times New Roman" w:eastAsia="Times New Roman" w:hAnsi="Times New Roman"/>
          <w:sz w:val="20"/>
          <w:szCs w:val="20"/>
          <w:color w:val="auto"/>
        </w:rPr>
      </w:pPr>
    </w:p>
    <w:p>
      <w:pPr>
        <w:jc w:val="both"/>
        <w:ind w:left="660" w:firstLine="644"/>
        <w:spacing w:after="0"/>
        <w:tabs>
          <w:tab w:leader="none" w:pos="1766"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Repurchases that have been approved by the Board, if at any time during the period such Repurchases are scheduled to take place, the General Counsel or any Authorized Officer become aware of any MNPI, they shall notify the relevant employee(s) at the Company responsible for effecting Repurchases as soon as practicable to suspend such Repurchases.</w:t>
      </w:r>
    </w:p>
    <w:p>
      <w:pPr>
        <w:spacing w:after="0" w:line="214" w:lineRule="exact"/>
        <w:rPr>
          <w:rFonts w:ascii="Times New Roman" w:cs="Times New Roman" w:eastAsia="Times New Roman" w:hAnsi="Times New Roman"/>
          <w:sz w:val="20"/>
          <w:szCs w:val="20"/>
          <w:color w:val="auto"/>
        </w:rPr>
      </w:pPr>
    </w:p>
    <w:p>
      <w:pPr>
        <w:ind w:left="660" w:firstLine="644"/>
        <w:spacing w:after="0" w:line="255" w:lineRule="auto"/>
        <w:tabs>
          <w:tab w:leader="none" w:pos="1735"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Once the General Counsel and such Authorized Officer are satisfied that, to their knowledge, the Company is no longer in possession of MNPI, they shall notify the relevant employee(s) that the Company may resume its Repurchases.</w:t>
      </w:r>
    </w:p>
    <w:p>
      <w:pPr>
        <w:spacing w:after="0" w:line="195" w:lineRule="exact"/>
        <w:rPr>
          <w:rFonts w:ascii="Times New Roman" w:cs="Times New Roman" w:eastAsia="Times New Roman" w:hAnsi="Times New Roman"/>
          <w:sz w:val="20"/>
          <w:szCs w:val="20"/>
          <w:color w:val="auto"/>
        </w:rPr>
      </w:pPr>
    </w:p>
    <w:p>
      <w:pPr>
        <w:ind w:left="260" w:firstLine="396"/>
        <w:spacing w:after="0" w:line="259" w:lineRule="auto"/>
        <w:tabs>
          <w:tab w:leader="none" w:pos="131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Recordkeeping</w:t>
      </w:r>
      <w:r>
        <w:rPr>
          <w:rFonts w:ascii="Times New Roman" w:cs="Times New Roman" w:eastAsia="Times New Roman" w:hAnsi="Times New Roman"/>
          <w:sz w:val="20"/>
          <w:szCs w:val="20"/>
          <w:color w:val="auto"/>
        </w:rPr>
        <w:t>. The General Counsel shall maintain a record of the communications referred to in these policies and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procedures in compliance with the Company’s recordkeeping policies.</w:t>
      </w:r>
    </w:p>
    <w:p>
      <w:pPr>
        <w:spacing w:after="0" w:line="192" w:lineRule="exact"/>
        <w:rPr>
          <w:rFonts w:ascii="Times New Roman" w:cs="Times New Roman" w:eastAsia="Times New Roman" w:hAnsi="Times New Roman"/>
          <w:sz w:val="20"/>
          <w:szCs w:val="20"/>
          <w:color w:val="auto"/>
        </w:rPr>
      </w:pPr>
    </w:p>
    <w:p>
      <w:pPr>
        <w:ind w:left="260" w:firstLine="396"/>
        <w:spacing w:after="0" w:line="259" w:lineRule="auto"/>
        <w:tabs>
          <w:tab w:leader="none" w:pos="131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Training</w:t>
      </w:r>
      <w:r>
        <w:rPr>
          <w:rFonts w:ascii="Times New Roman" w:cs="Times New Roman" w:eastAsia="Times New Roman" w:hAnsi="Times New Roman"/>
          <w:sz w:val="20"/>
          <w:szCs w:val="20"/>
          <w:color w:val="auto"/>
        </w:rPr>
        <w:t>. Company directors, officers and employees who are involved in the Company’s securities trading activities shall be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provided training on the Trading Policy and these policies and procedures consistent with the Company’s employee training policies.</w:t>
      </w:r>
    </w:p>
    <w:p>
      <w:pPr>
        <w:spacing w:after="0" w:line="178" w:lineRule="exact"/>
        <w:rPr>
          <w:rFonts w:ascii="Times New Roman" w:cs="Times New Roman" w:eastAsia="Times New Roman" w:hAnsi="Times New Roman"/>
          <w:sz w:val="20"/>
          <w:szCs w:val="20"/>
          <w:color w:val="auto"/>
        </w:rPr>
      </w:pPr>
    </w:p>
    <w:p>
      <w:pPr>
        <w:jc w:val="both"/>
        <w:ind w:left="260" w:firstLine="396"/>
        <w:spacing w:after="0" w:line="249" w:lineRule="auto"/>
        <w:tabs>
          <w:tab w:leader="none" w:pos="131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Modification or Waiver</w:t>
      </w:r>
      <w:r>
        <w:rPr>
          <w:rFonts w:ascii="Times New Roman" w:cs="Times New Roman" w:eastAsia="Times New Roman" w:hAnsi="Times New Roman"/>
          <w:sz w:val="20"/>
          <w:szCs w:val="20"/>
          <w:color w:val="auto"/>
        </w:rPr>
        <w:t>. These policies and procedures may be modified, and specific requirements therein may be waived,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subject to approval by the General Counsel if they deem such modifications or waivers are appropriate based on particular facts and circumstances and in compliance with applicable law.</w:t>
      </w:r>
    </w:p>
    <w:p>
      <w:pPr>
        <w:spacing w:after="0" w:line="202" w:lineRule="exact"/>
        <w:rPr>
          <w:rFonts w:ascii="Times New Roman" w:cs="Times New Roman" w:eastAsia="Times New Roman" w:hAnsi="Times New Roman"/>
          <w:sz w:val="20"/>
          <w:szCs w:val="20"/>
          <w:color w:val="auto"/>
        </w:rPr>
      </w:pPr>
    </w:p>
    <w:p>
      <w:pPr>
        <w:ind w:left="260" w:firstLine="396"/>
        <w:spacing w:after="0" w:line="259" w:lineRule="auto"/>
        <w:tabs>
          <w:tab w:leader="none" w:pos="1313"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Amendments</w:t>
      </w:r>
      <w:r>
        <w:rPr>
          <w:rFonts w:ascii="Times New Roman" w:cs="Times New Roman" w:eastAsia="Times New Roman" w:hAnsi="Times New Roman"/>
          <w:sz w:val="20"/>
          <w:szCs w:val="20"/>
          <w:color w:val="auto"/>
        </w:rPr>
        <w:t>. These policies and procedures may be reviewed periodically as determined by the General Counsel.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material amendments to these policies and procedures shall require the approval of the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440"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25" w:lineRule="exact"/>
        <w:rPr>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333-277528)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33" w:lineRule="auto"/>
        <w:tabs>
          <w:tab w:leader="none" w:pos="1300" w:val="left"/>
        </w:tabs>
        <w:numPr>
          <w:ilvl w:val="1"/>
          <w:numId w:val="46"/>
        </w:numPr>
        <w:rPr>
          <w:rFonts w:ascii="Arial" w:cs="Arial" w:eastAsia="Arial" w:hAnsi="Arial"/>
          <w:sz w:val="18"/>
          <w:szCs w:val="18"/>
          <w:color w:val="auto"/>
        </w:rPr>
      </w:pPr>
      <w:r>
        <w:rPr>
          <w:rFonts w:ascii="Times New Roman" w:cs="Times New Roman" w:eastAsia="Times New Roman" w:hAnsi="Times New Roman"/>
          <w:sz w:val="18"/>
          <w:szCs w:val="18"/>
          <w:color w:val="auto"/>
        </w:rPr>
        <w:t>2019 Equity Incentive Plan</w:t>
      </w: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211" w:lineRule="exact"/>
        <w:rPr>
          <w:rFonts w:ascii="Arial" w:cs="Arial" w:eastAsia="Arial" w:hAnsi="Arial"/>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333-270198)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198" w:lineRule="exact"/>
        <w:rPr>
          <w:rFonts w:ascii="Arial" w:cs="Arial" w:eastAsia="Arial" w:hAnsi="Arial"/>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333-263240)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211" w:lineRule="exact"/>
        <w:rPr>
          <w:rFonts w:ascii="Arial" w:cs="Arial" w:eastAsia="Arial" w:hAnsi="Arial"/>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333-253787) pertaining to the following plans:</w:t>
      </w:r>
    </w:p>
    <w:p>
      <w:pPr>
        <w:spacing w:after="0" w:line="15" w:lineRule="exact"/>
        <w:rPr>
          <w:rFonts w:ascii="Times New Roman" w:cs="Times New Roman" w:eastAsia="Times New Roman" w:hAnsi="Times New Roman"/>
          <w:sz w:val="18"/>
          <w:szCs w:val="18"/>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198" w:lineRule="exact"/>
        <w:rPr>
          <w:rFonts w:ascii="Arial" w:cs="Arial" w:eastAsia="Arial" w:hAnsi="Arial"/>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333-237072)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line="225"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spacing w:after="0" w:line="198" w:lineRule="exact"/>
        <w:rPr>
          <w:rFonts w:ascii="Arial" w:cs="Arial" w:eastAsia="Arial" w:hAnsi="Arial"/>
          <w:sz w:val="20"/>
          <w:szCs w:val="20"/>
          <w:color w:val="auto"/>
        </w:rPr>
      </w:pPr>
    </w:p>
    <w:p>
      <w:pPr>
        <w:ind w:left="920" w:hanging="264"/>
        <w:spacing w:after="0"/>
        <w:tabs>
          <w:tab w:leader="none" w:pos="9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333-234342) pertaining to the following plans:</w:t>
      </w:r>
    </w:p>
    <w:p>
      <w:pPr>
        <w:spacing w:after="0" w:line="27" w:lineRule="exact"/>
        <w:rPr>
          <w:rFonts w:ascii="Times New Roman" w:cs="Times New Roman" w:eastAsia="Times New Roman" w:hAnsi="Times New Roman"/>
          <w:sz w:val="18"/>
          <w:szCs w:val="18"/>
          <w:color w:val="auto"/>
        </w:rPr>
      </w:pPr>
    </w:p>
    <w:p>
      <w:pPr>
        <w:ind w:left="1300" w:hanging="320"/>
        <w:spacing w:after="0" w:line="21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Equity Incentive Plan</w:t>
      </w: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2019 Employee Stock Purchase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2017 Equity Incentive Plan</w:t>
      </w:r>
    </w:p>
    <w:p>
      <w:pPr>
        <w:spacing w:after="0" w:line="2" w:lineRule="exact"/>
        <w:rPr>
          <w:rFonts w:ascii="Arial" w:cs="Arial" w:eastAsia="Arial" w:hAnsi="Arial"/>
          <w:sz w:val="20"/>
          <w:szCs w:val="20"/>
          <w:color w:val="auto"/>
        </w:rPr>
      </w:pPr>
    </w:p>
    <w:p>
      <w:pPr>
        <w:ind w:left="1300" w:hanging="320"/>
        <w:spacing w:after="0" w:line="223" w:lineRule="auto"/>
        <w:tabs>
          <w:tab w:leader="none" w:pos="1300" w:val="left"/>
        </w:tabs>
        <w:numPr>
          <w:ilvl w:val="1"/>
          <w:numId w:val="46"/>
        </w:numPr>
        <w:rPr>
          <w:rFonts w:ascii="Arial" w:cs="Arial" w:eastAsia="Arial" w:hAnsi="Arial"/>
          <w:sz w:val="20"/>
          <w:szCs w:val="20"/>
          <w:color w:val="auto"/>
        </w:rPr>
      </w:pPr>
      <w:r>
        <w:rPr>
          <w:rFonts w:ascii="Times New Roman" w:cs="Times New Roman" w:eastAsia="Times New Roman" w:hAnsi="Times New Roman"/>
          <w:sz w:val="18"/>
          <w:szCs w:val="18"/>
          <w:color w:val="auto"/>
        </w:rPr>
        <w:t>2008 Stock Plan</w:t>
      </w:r>
    </w:p>
    <w:p>
      <w:pPr>
        <w:spacing w:after="0" w:line="360"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8"/>
          <w:szCs w:val="18"/>
          <w:color w:val="auto"/>
        </w:rPr>
        <w:t>of our reports dated March 3, 2025, with respect to the consolidated financial statements of Progyny, Inc. and the effectiveness of internal control over financial reporting of Progyny, Inc. included in this Annual Report (Form 10-K) of Progyny, Inc. for the year ended December 31, 2024.</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2025</w:t>
      </w:r>
    </w:p>
    <w:p>
      <w:pPr>
        <w:sectPr>
          <w:pgSz w:w="11900" w:h="16838" w:orient="portrait"/>
          <w:cols w:equalWidth="0" w:num="1">
            <w:col w:w="11240"/>
          </w:cols>
          <w:pgMar w:left="320" w:top="117"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185"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84" w:lineRule="exact"/>
        <w:rPr>
          <w:rFonts w:ascii="Times New Roman" w:cs="Times New Roman" w:eastAsia="Times New Roman" w:hAnsi="Times New Roman"/>
          <w:sz w:val="18"/>
          <w:szCs w:val="18"/>
          <w:color w:val="auto"/>
        </w:rPr>
      </w:pPr>
    </w:p>
    <w:p>
      <w:pPr>
        <w:jc w:val="both"/>
        <w:ind w:left="660" w:hanging="652"/>
        <w:spacing w:after="0" w:line="250"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5" w:lineRule="exact"/>
        <w:rPr>
          <w:rFonts w:ascii="Times New Roman" w:cs="Times New Roman" w:eastAsia="Times New Roman" w:hAnsi="Times New Roman"/>
          <w:sz w:val="18"/>
          <w:szCs w:val="18"/>
          <w:color w:val="auto"/>
        </w:rPr>
      </w:pPr>
    </w:p>
    <w:p>
      <w:pPr>
        <w:ind w:left="1300" w:hanging="644"/>
        <w:spacing w:after="0" w:line="282"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4"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00" w:hanging="644"/>
        <w:spacing w:after="0" w:line="266" w:lineRule="auto"/>
        <w:tabs>
          <w:tab w:leader="none" w:pos="129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300"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0"/>
        <w:spacing w:after="0"/>
        <w:tabs>
          <w:tab w:leader="none" w:pos="4120" w:val="left"/>
          <w:tab w:leader="none" w:pos="754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34290</wp:posOffset>
            </wp:positionV>
            <wp:extent cx="38658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4">
                      <a:extLst>
                        <a:ext uri="{28A0092B-C50C-407E-A947-70E740481C1C}"/>
                      </a:extLst>
                    </a:blip>
                    <a:srcRect/>
                    <a:stretch>
                      <a:fillRect/>
                    </a:stretch>
                  </pic:blipFill>
                  <pic:spPr bwMode="auto">
                    <a:xfrm>
                      <a:off x="0" y="0"/>
                      <a:ext cx="3865880" cy="8255"/>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41"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198" w:lineRule="exact"/>
        <w:rPr>
          <w:sz w:val="20"/>
          <w:szCs w:val="20"/>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Progyny, Inc.;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5" w:lineRule="exact"/>
        <w:rPr>
          <w:rFonts w:ascii="Times New Roman" w:cs="Times New Roman" w:eastAsia="Times New Roman" w:hAnsi="Times New Roman"/>
          <w:sz w:val="18"/>
          <w:szCs w:val="18"/>
          <w:color w:val="auto"/>
        </w:rPr>
      </w:pPr>
    </w:p>
    <w:p>
      <w:pPr>
        <w:jc w:val="both"/>
        <w:ind w:left="1300" w:hanging="644"/>
        <w:spacing w:after="0" w:line="250"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6" w:lineRule="exact"/>
        <w:rPr>
          <w:rFonts w:ascii="Times New Roman" w:cs="Times New Roman" w:eastAsia="Times New Roman" w:hAnsi="Times New Roman"/>
          <w:sz w:val="18"/>
          <w:szCs w:val="18"/>
          <w:color w:val="auto"/>
        </w:rPr>
      </w:pPr>
    </w:p>
    <w:p>
      <w:pPr>
        <w:ind w:left="1300" w:hanging="644"/>
        <w:spacing w:after="0" w:line="266"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8"/>
          <w:szCs w:val="18"/>
          <w:color w:val="auto"/>
        </w:rPr>
      </w:pPr>
    </w:p>
    <w:p>
      <w:pPr>
        <w:ind w:left="1300" w:hanging="644"/>
        <w:spacing w:after="0" w:line="266" w:lineRule="auto"/>
        <w:tabs>
          <w:tab w:leader="none" w:pos="129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00" w:right="20" w:hanging="644"/>
        <w:spacing w:after="0" w:line="266" w:lineRule="auto"/>
        <w:tabs>
          <w:tab w:leader="none" w:pos="130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920"/>
        <w:spacing w:after="0"/>
        <w:tabs>
          <w:tab w:leader="none" w:pos="4120" w:val="left"/>
          <w:tab w:leader="none" w:pos="744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4873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Progyny, Inc. (the “Company”) for the period ended December 31, 2024, as filed with the Securities and Exchange Commission on the date hereof (the “Report”), I, hereby certify, pursuant to 18 U.S.C. Section 1350, as adopted pursuant to Section 906 of the Sarbanes-Oxley Act of 2002, as amended, that, to my knowledge:</w:t>
      </w:r>
    </w:p>
    <w:p>
      <w:pPr>
        <w:spacing w:after="0" w:line="169" w:lineRule="exact"/>
        <w:rPr>
          <w:sz w:val="20"/>
          <w:szCs w:val="20"/>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920"/>
        <w:spacing w:after="0"/>
        <w:tabs>
          <w:tab w:leader="none" w:pos="4120" w:val="left"/>
          <w:tab w:leader="none" w:pos="754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3253740</wp:posOffset>
            </wp:positionH>
            <wp:positionV relativeFrom="paragraph">
              <wp:posOffset>34290</wp:posOffset>
            </wp:positionV>
            <wp:extent cx="38658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6">
                      <a:extLst>
                        <a:ext uri="{28A0092B-C50C-407E-A947-70E740481C1C}"/>
                      </a:extLst>
                    </a:blip>
                    <a:srcRect/>
                    <a:stretch>
                      <a:fillRect/>
                    </a:stretch>
                  </pic:blipFill>
                  <pic:spPr bwMode="auto">
                    <a:xfrm>
                      <a:off x="0" y="0"/>
                      <a:ext cx="3865880" cy="8890"/>
                    </a:xfrm>
                    <a:prstGeom prst="rect">
                      <a:avLst/>
                    </a:prstGeom>
                    <a:noFill/>
                  </pic:spPr>
                </pic:pic>
              </a:graphicData>
            </a:graphic>
          </wp:anchor>
        </w:drawing>
      </w:r>
    </w:p>
    <w:p>
      <w:pPr>
        <w:spacing w:after="0" w:line="5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Peter Anevski</w:t>
      </w:r>
    </w:p>
    <w:p>
      <w:pPr>
        <w:spacing w:after="0" w:line="77" w:lineRule="exact"/>
        <w:rPr>
          <w:sz w:val="20"/>
          <w:szCs w:val="20"/>
          <w:color w:val="auto"/>
        </w:rPr>
      </w:pPr>
    </w:p>
    <w:p>
      <w:pPr>
        <w:ind w:left="73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927"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3" w:lineRule="exact"/>
        <w:rPr>
          <w:sz w:val="20"/>
          <w:szCs w:val="20"/>
          <w:color w:val="auto"/>
        </w:rPr>
      </w:pPr>
    </w:p>
    <w:p>
      <w:pPr>
        <w:jc w:val="both"/>
        <w:ind w:firstLine="441"/>
        <w:spacing w:after="0" w:line="258" w:lineRule="auto"/>
        <w:rPr>
          <w:sz w:val="20"/>
          <w:szCs w:val="20"/>
          <w:color w:val="auto"/>
        </w:rPr>
      </w:pPr>
      <w:r>
        <w:rPr>
          <w:rFonts w:ascii="Times New Roman" w:cs="Times New Roman" w:eastAsia="Times New Roman" w:hAnsi="Times New Roman"/>
          <w:sz w:val="18"/>
          <w:szCs w:val="18"/>
          <w:color w:val="auto"/>
        </w:rPr>
        <w:t>In connection with the Annual Report on Form 10-K of Progyny, Inc. (the “Company”) for the period ended December 31, 2024, as filed with the Securities and Exchange Commission on the date hereof (the “Report”), I, hereby certify, pursuant to 18 U.S.C. Section 1350, as adopted pursuant to Section 906 of the Sarbanes-Oxley Act of 2002, as amended, that to my knowledge:</w:t>
      </w:r>
    </w:p>
    <w:p>
      <w:pPr>
        <w:spacing w:after="0" w:line="169" w:lineRule="exact"/>
        <w:rPr>
          <w:sz w:val="20"/>
          <w:szCs w:val="20"/>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60"/>
        <w:spacing w:after="0"/>
        <w:tabs>
          <w:tab w:leader="none" w:pos="4120" w:val="left"/>
          <w:tab w:leader="none" w:pos="7440" w:val="left"/>
        </w:tabs>
        <w:rPr>
          <w:sz w:val="20"/>
          <w:szCs w:val="20"/>
          <w:color w:val="auto"/>
        </w:rPr>
      </w:pPr>
      <w:r>
        <w:rPr>
          <w:rFonts w:ascii="Times New Roman" w:cs="Times New Roman" w:eastAsia="Times New Roman" w:hAnsi="Times New Roman"/>
          <w:sz w:val="18"/>
          <w:szCs w:val="18"/>
          <w:color w:val="auto"/>
        </w:rPr>
        <w:t>Date: March 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34290</wp:posOffset>
            </wp:positionV>
            <wp:extent cx="384873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7">
                      <a:extLst>
                        <a:ext uri="{28A0092B-C50C-407E-A947-70E740481C1C}"/>
                      </a:extLst>
                    </a:blip>
                    <a:srcRect/>
                    <a:stretch>
                      <a:fillRect/>
                    </a:stretch>
                  </pic:blipFill>
                  <pic:spPr bwMode="auto">
                    <a:xfrm>
                      <a:off x="0" y="0"/>
                      <a:ext cx="3848735" cy="8890"/>
                    </a:xfrm>
                    <a:prstGeom prst="rect">
                      <a:avLst/>
                    </a:prstGeom>
                    <a:noFill/>
                  </pic:spPr>
                </pic:pic>
              </a:graphicData>
            </a:graphic>
          </wp:anchor>
        </w:drawing>
      </w:r>
    </w:p>
    <w:p>
      <w:pPr>
        <w:spacing w:after="0" w:line="57"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7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9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1)"/>
      <w:numFmt w:val="decimal"/>
      <w:start w:val="1"/>
    </w:lvl>
    <w:lvl w:ilvl="1">
      <w:lvlJc w:val="left"/>
      <w:lvlText w:val="•"/>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2"/>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1)"/>
      <w:numFmt w:val="decimal"/>
      <w:start w:val="3"/>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1."/>
      <w:numFmt w:val="decimal"/>
      <w:start w:val="10"/>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4"/>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decimal"/>
      <w:start w:val="97"/>
    </w:lvl>
  </w:abstractNum>
  <w:abstractNum w:abstractNumId="34">
    <w:nsid w:val="6A2342EC"/>
    <w:multiLevelType w:val="hybridMultilevel"/>
    <w:lvl w:ilvl="0">
      <w:lvlJc w:val="left"/>
      <w:lvlText w:val="*"/>
      <w:numFmt w:val="bullet"/>
      <w:start w:val="1"/>
    </w:lvl>
    <w:lvl w:ilvl="1">
      <w:lvlJc w:val="left"/>
      <w:lvlText w:val="%2"/>
      <w:numFmt w:val="decimal"/>
      <w:start w:val="104"/>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1."/>
      <w:numFmt w:val="upperLetter"/>
      <w:start w:val="9"/>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1."/>
      <w:numFmt w:val="upperLetter"/>
      <w:start w:val="35"/>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1"/>
      <w:numFmt w:val="upperLetter"/>
      <w:start w:val="1"/>
    </w:lvl>
    <w:lvl w:ilvl="1">
      <w:lvlJc w:val="left"/>
      <w:lvlText w:val="%2."/>
      <w:numFmt w:val="decimal"/>
      <w:start w:val="1"/>
    </w:lvl>
  </w:abstractNum>
  <w:abstractNum w:abstractNumId="42">
    <w:nsid w:val="542289EC"/>
    <w:multiLevelType w:val="hybridMultilevel"/>
    <w:lvl w:ilvl="0">
      <w:lvlJc w:val="left"/>
      <w:lvlText w:val="%1."/>
      <w:numFmt w:val="upperLetter"/>
      <w:start w:val="3"/>
    </w:lvl>
    <w:lvl w:ilvl="1">
      <w:lvlJc w:val="left"/>
      <w:lvlText w:val="%2."/>
      <w:numFmt w:val="decimal"/>
      <w:start w:val="1"/>
    </w:lvl>
  </w:abstractNum>
  <w:abstractNum w:abstractNumId="43">
    <w:nsid w:val="6DE91B18"/>
    <w:multiLevelType w:val="hybridMultilevel"/>
    <w:lvl w:ilvl="0">
      <w:lvlJc w:val="left"/>
      <w:lvlText w:val="%1."/>
      <w:numFmt w:val="decimal"/>
      <w:start w:val="2"/>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
      <w:numFmt w:val="bullet"/>
      <w:start w:val="1"/>
    </w:lvl>
  </w:abstractNum>
  <w:abstractNum w:abstractNumId="46">
    <w:nsid w:val="32FFF902"/>
    <w:multiLevelType w:val="hybridMultilevel"/>
    <w:lvl w:ilvl="0">
      <w:lvlJc w:val="left"/>
      <w:lvlText w:val="%1."/>
      <w:numFmt w:val="decimal"/>
      <w:start w:val="1"/>
    </w:lvl>
    <w:lvl w:ilvl="1">
      <w:lvlJc w:val="left"/>
      <w:lvlText w:val="%2."/>
      <w:numFmt w:val="lowerLetter"/>
      <w:start w:val="1"/>
    </w:lvl>
  </w:abstractNum>
  <w:abstractNum w:abstractNumId="47">
    <w:nsid w:val="684A481A"/>
    <w:multiLevelType w:val="hybridMultilevel"/>
    <w:lvl w:ilvl="0">
      <w:lvlJc w:val="left"/>
      <w:lvlText w:val="%1."/>
      <w:numFmt w:val="decimal"/>
      <w:start w:val="1"/>
    </w:lvl>
    <w:lvl w:ilvl="1">
      <w:lvlJc w:val="left"/>
      <w:lvlText w:val="%2."/>
      <w:numFmt w:val="lowerLetter"/>
      <w:start w:val="1"/>
    </w:lvl>
  </w:abstractNum>
  <w:abstractNum w:abstractNumId="48">
    <w:nsid w:val="579478FE"/>
    <w:multiLevelType w:val="hybridMultilevel"/>
    <w:lvl w:ilvl="0">
      <w:lvlJc w:val="left"/>
      <w:lvlText w:val="(%1)"/>
      <w:numFmt w:val="decimal"/>
      <w:start w:val="1"/>
    </w:lvl>
  </w:abstractNum>
  <w:abstractNum w:abstractNumId="49">
    <w:nsid w:val="749ABB4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52"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4" Type="http://schemas.openxmlformats.org/officeDocument/2006/relationships/image" Target="media/image140.png"/><Relationship Id="rId175" Type="http://schemas.openxmlformats.org/officeDocument/2006/relationships/image" Target="media/image141.png"/><Relationship Id="rId176" Type="http://schemas.openxmlformats.org/officeDocument/2006/relationships/image" Target="media/image142.png"/><Relationship Id="rId177" Type="http://schemas.openxmlformats.org/officeDocument/2006/relationships/image" Target="media/image143.png"/><Relationship Id="rId178" Type="http://schemas.openxmlformats.org/officeDocument/2006/relationships/image" Target="media/image144.png"/><Relationship Id="rId179" Type="http://schemas.openxmlformats.org/officeDocument/2006/relationships/image" Target="media/image145.png"/><Relationship Id="rId180" Type="http://schemas.openxmlformats.org/officeDocument/2006/relationships/image" Target="media/image146.png"/><Relationship Id="rId181" Type="http://schemas.openxmlformats.org/officeDocument/2006/relationships/image" Target="media/image147.png"/><Relationship Id="rId182" Type="http://schemas.openxmlformats.org/officeDocument/2006/relationships/image" Target="media/image148.png"/><Relationship Id="rId183" Type="http://schemas.openxmlformats.org/officeDocument/2006/relationships/image" Target="media/image149.png"/><Relationship Id="rId184" Type="http://schemas.openxmlformats.org/officeDocument/2006/relationships/image" Target="media/image150.png"/><Relationship Id="rId185" Type="http://schemas.openxmlformats.org/officeDocument/2006/relationships/image" Target="media/image151.png"/><Relationship Id="rId186" Type="http://schemas.openxmlformats.org/officeDocument/2006/relationships/image" Target="media/image152.png"/><Relationship Id="rId187" Type="http://schemas.openxmlformats.org/officeDocument/2006/relationships/image" Target="media/image153.png"/><Relationship Id="rId69" Type="http://schemas.openxmlformats.org/officeDocument/2006/relationships/hyperlink" Target="https://www.sec.gov/ix?doc=/Archives/edgar/data/0001551306/000155130624000031/pgny-20231231.htm" TargetMode="External"/><Relationship Id="rId145" Type="http://schemas.openxmlformats.org/officeDocument/2006/relationships/hyperlink" Target="http://www.sec.gov/Archives/edgar/data/1551306/000104746919005487/a2239750zex-3_2.htm" TargetMode="External"/><Relationship Id="rId146" Type="http://schemas.openxmlformats.org/officeDocument/2006/relationships/hyperlink" Target="https://www.sec.gov/Archives/edgar/data/1551306/000155130624000203/pgny-20240930xex31.htm" TargetMode="External"/><Relationship Id="rId147" Type="http://schemas.openxmlformats.org/officeDocument/2006/relationships/hyperlink" Target="http://www.sec.gov/Archives/edgar/data/1551306/000104746919005727/a2239825zex-4_1.htm" TargetMode="External"/><Relationship Id="rId148" Type="http://schemas.openxmlformats.org/officeDocument/2006/relationships/hyperlink" Target="http://www.sec.gov/Archives/edgar/data/1551306/000104746919005727/a2239825zex-4_2.htm" TargetMode="External"/><Relationship Id="rId149" Type="http://schemas.openxmlformats.org/officeDocument/2006/relationships/hyperlink" Target="http://www.sec.gov/Archives/edgar/data/1551306/000104746919005727/a2239825zex-4_3.htm" TargetMode="External"/><Relationship Id="rId150" Type="http://schemas.openxmlformats.org/officeDocument/2006/relationships/hyperlink" Target="http://www.sec.gov/Archives/edgar/data/1551306/000104746919005727/a2239825zex-4_4.htm" TargetMode="External"/><Relationship Id="rId151" Type="http://schemas.openxmlformats.org/officeDocument/2006/relationships/hyperlink" Target="http://www.sec.gov/Archives/edgar/data/1551306/000104746919005727/a2239825zex-4_5.htm" TargetMode="External"/><Relationship Id="rId153" Type="http://schemas.openxmlformats.org/officeDocument/2006/relationships/hyperlink" Target="http://www.sec.gov/Archives/edgar/data/1551306/000104746919005487/a2239750zex-10_2.htm" TargetMode="External"/><Relationship Id="rId154" Type="http://schemas.openxmlformats.org/officeDocument/2006/relationships/hyperlink" Target="http://www.sec.gov/Archives/edgar/data/1551306/000110465919056592/a19-11098_10ex99d2.htm" TargetMode="External"/><Relationship Id="rId155" Type="http://schemas.openxmlformats.org/officeDocument/2006/relationships/hyperlink" Target="https://www.sec.gov/Archives/edgar/data/0001551306/000155837021002082/pgny-20201231ex1049139b5.htm" TargetMode="External"/><Relationship Id="rId156" Type="http://schemas.openxmlformats.org/officeDocument/2006/relationships/hyperlink" Target="http://www.sec.gov/Archives/edgar/data/1551306/000104746919005727/a2239825zex-10_4.htm" TargetMode="External"/><Relationship Id="rId157" Type="http://schemas.openxmlformats.org/officeDocument/2006/relationships/hyperlink" Target="https://www.sec.gov/Archives/edgar/data/0001551306/000155837021002082/pgny-20201231ex1066f1c79.htm" TargetMode="External"/><Relationship Id="rId158" Type="http://schemas.openxmlformats.org/officeDocument/2006/relationships/hyperlink" Target="http://www.sec.gov/Archives/edgar/data/1551306/000104746919005727/a2239825zex-10_5.htm" TargetMode="External"/><Relationship Id="rId159" Type="http://schemas.openxmlformats.org/officeDocument/2006/relationships/hyperlink" Target="http://www.sec.gov/Archives/edgar/data/1551306/000104746919005487/a2239750zex-10_6.htm" TargetMode="External"/><Relationship Id="rId160" Type="http://schemas.openxmlformats.org/officeDocument/2006/relationships/hyperlink" Target="https://www.sec.gov/Archives/edgar/data/1551306/000155837022007635/pgny-20220331xex10d1.htm" TargetMode="External"/><Relationship Id="rId161" Type="http://schemas.openxmlformats.org/officeDocument/2006/relationships/hyperlink" Target="https://www.sec.gov/Archives/edgar/data/1551306/000155837022007635/pgny-20220331xex10d2.htm" TargetMode="External"/><Relationship Id="rId162" Type="http://schemas.openxmlformats.org/officeDocument/2006/relationships/hyperlink" Target="https://www.sec.gov/Archives/edgar/data/1551306/000155130622000017/pgny-20220630xex101.htm" TargetMode="External"/><Relationship Id="rId163" Type="http://schemas.openxmlformats.org/officeDocument/2006/relationships/hyperlink" Target="https://www.sec.gov/Archives/edgar/data/1551306/000155130623000015/pgny-202319x10kexhibit1011.htm" TargetMode="External"/><Relationship Id="rId164" Type="http://schemas.openxmlformats.org/officeDocument/2006/relationships/hyperlink" Target="https://www.sec.gov/Archives/edgar/data/1551306/000155837022007635/pgny-20220331xex10d3.htm" TargetMode="External"/><Relationship Id="rId165" Type="http://schemas.openxmlformats.org/officeDocument/2006/relationships/hyperlink" Target="https://www.sec.gov/Archives/edgar/data/1551306/000104746919005487/a2239750zex-10_11.htm" TargetMode="External"/><Relationship Id="rId166" Type="http://schemas.openxmlformats.org/officeDocument/2006/relationships/hyperlink" Target="https://www.sec.gov/Archives/edgar/data/1551306/000155130623000015/pgny-2022227x10kexhibit1014.htm" TargetMode="External"/><Relationship Id="rId167" Type="http://schemas.openxmlformats.org/officeDocument/2006/relationships/hyperlink" Target="http://www.sec.gov/Archives/edgar/data/1551306/000104746919005487/a2239750zex-10_10.htm" TargetMode="External"/><Relationship Id="rId170" Type="http://schemas.openxmlformats.org/officeDocument/2006/relationships/hyperlink" Target="https://www.sec.gov/Archives/edgar/data/0001551306/000155837020009993/pgny-20200630ex101d40dc7.htm" TargetMode="External"/><Relationship Id="rId171" Type="http://schemas.openxmlformats.org/officeDocument/2006/relationships/hyperlink" Target="https://www.sec.gov/Archives/edgar/data/1551306/000155130624000103/pgny-20240331xex101.htm" TargetMode="External"/><Relationship Id="rId172" Type="http://schemas.openxmlformats.org/officeDocument/2006/relationships/hyperlink" Target="https://www.sec.gov/Archives/edgar/data/1551306/000155837022002466/pgny-20211231xex21d1.htm" TargetMode="External"/><Relationship Id="rId173" Type="http://schemas.openxmlformats.org/officeDocument/2006/relationships/hyperlink" Target="https://www.sec.gov/Archives/edgar/data/1551306/000155130624000031/pgny-20211231x10kexhibit9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2025-03-03T08:35:29Z</dcterms:created>
  <dcterms:modified xsi:type="dcterms:W3CDTF">2025-03-03T08:35:29Z</dcterms:modified>
</cp:coreProperties>
</file>