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w:t>
      </w:r>
    </w:p>
    <w:p>
      <w:pPr>
        <w:pStyle w:val="TextBody"/>
        <w:bidi w:val="0"/>
        <w:spacing w:lineRule="auto" w:line="288" w:before="120" w:after="283"/>
        <w:jc w:val="left"/>
        <w:rPr>
          <w:rFonts w:ascii="Times New Roman;serif" w:hAnsi="Times New Roman;serif"/>
          <w:b/>
          <w:color w:val="000000"/>
          <w:sz w:val="14"/>
        </w:rPr>
      </w:pPr>
      <w:r>
        <w:rPr>
          <w:rFonts w:ascii="Times New Roman;serif" w:hAnsi="Times New Roman;serif"/>
          <w:b/>
          <w:color w:val="000000"/>
          <w:sz w:val="14"/>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___________________ to ___________________</w:t>
      </w:r>
    </w:p>
    <w:p>
      <w:pPr>
        <w:pStyle w:val="TextBody"/>
        <w:bidi w:val="0"/>
        <w:spacing w:lineRule="auto" w:line="288" w:before="120" w:after="283"/>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18"/>
          <w:shd w:fill="FFFFFF" w:val="clear"/>
        </w:rPr>
        <w:t>001-39100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w:t>
      </w:r>
    </w:p>
    <w:p>
      <w:pPr>
        <w:pStyle w:val="TextBody"/>
        <w:bidi w:val="0"/>
        <w:spacing w:lineRule="auto" w:line="288" w:before="120" w:after="283"/>
        <w:jc w:val="center"/>
        <w:rPr>
          <w:rFonts w:ascii="Times New Roman;serif" w:hAnsi="Times New Roman;serif"/>
          <w:b/>
          <w:color w:val="000000"/>
          <w:sz w:val="46"/>
        </w:rPr>
      </w:pPr>
      <w:r>
        <w:rPr>
          <w:rFonts w:ascii="Times New Roman;serif" w:hAnsi="Times New Roman;serif"/>
          <w:b/>
          <w:color w:val="000000"/>
          <w:sz w:val="46"/>
        </w:rPr>
        <w:t>Progyny,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w:t>
      </w:r>
    </w:p>
    <w:tbl>
      <w:tblPr>
        <w:tblW w:w="3239" w:type="dxa"/>
        <w:jc w:val="left"/>
        <w:tblInd w:w="0" w:type="dxa"/>
        <w:tblLayout w:type="fixed"/>
        <w:tblCellMar>
          <w:top w:w="28" w:type="dxa"/>
          <w:left w:w="28" w:type="dxa"/>
          <w:bottom w:w="28" w:type="dxa"/>
          <w:right w:w="28" w:type="dxa"/>
        </w:tblCellMar>
      </w:tblPr>
      <w:tblGrid>
        <w:gridCol w:w="775"/>
        <w:gridCol w:w="683"/>
        <w:gridCol w:w="686"/>
        <w:gridCol w:w="320"/>
        <w:gridCol w:w="320"/>
        <w:gridCol w:w="455"/>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27-2220139</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(State or other jurisdiction of</w:t>
            </w:r>
          </w:p>
          <w:p>
            <w:pPr>
              <w:pStyle w:val="TableContents"/>
              <w:bidi w:val="0"/>
              <w:spacing w:lineRule="auto" w:line="276" w:before="0" w:after="15"/>
              <w:jc w:val="center"/>
              <w:rPr>
                <w:rFonts w:ascii="Times New Roman;serif" w:hAnsi="Times New Roman;serif"/>
                <w:b/>
                <w:color w:val="000000"/>
                <w:sz w:val="12"/>
              </w:rPr>
            </w:pPr>
            <w:r>
              <w:rPr>
                <w:rFonts w:ascii="Times New Roman;serif" w:hAnsi="Times New Roman;serif"/>
                <w:b/>
                <w:color w:val="000000"/>
                <w:sz w:val="12"/>
              </w:rPr>
              <w:t>incorporation or organization)</w:t>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(I.R.S. Employer</w:t>
            </w:r>
          </w:p>
          <w:p>
            <w:pPr>
              <w:pStyle w:val="TableContents"/>
              <w:bidi w:val="0"/>
              <w:spacing w:lineRule="auto" w:line="276" w:before="0" w:after="0"/>
              <w:jc w:val="center"/>
              <w:rPr>
                <w:rFonts w:ascii="Times New Roman;serif" w:hAnsi="Times New Roman;serif"/>
                <w:b/>
                <w:color w:val="000000"/>
                <w:sz w:val="12"/>
              </w:rPr>
            </w:pPr>
            <w:r>
              <w:rPr>
                <w:rFonts w:ascii="Times New Roman;serif" w:hAnsi="Times New Roman;serif"/>
                <w:b/>
                <w:color w:val="000000"/>
                <w:sz w:val="12"/>
              </w:rPr>
              <w:t>Identification No.)</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15"/>
              <w:jc w:val="center"/>
              <w:rPr>
                <w:rFonts w:ascii="Times New Roman;serif" w:hAnsi="Times New Roman;serif"/>
                <w:b/>
                <w:color w:val="000000"/>
                <w:sz w:val="18"/>
              </w:rPr>
            </w:pPr>
            <w:r>
              <w:rPr>
                <w:rFonts w:ascii="Times New Roman;serif" w:hAnsi="Times New Roman;serif"/>
                <w:b/>
                <w:color w:val="000000"/>
                <w:sz w:val="18"/>
              </w:rPr>
              <w:t>1359 Broadway</w:t>
            </w:r>
          </w:p>
          <w:p>
            <w:pPr>
              <w:pStyle w:val="TableContents"/>
              <w:bidi w:val="0"/>
              <w:spacing w:lineRule="auto" w:line="276" w:before="0" w:after="15"/>
              <w:jc w:val="center"/>
              <w:rPr/>
            </w:pPr>
            <w:r>
              <w:rPr>
                <w:rFonts w:ascii="Times New Roman;serif" w:hAnsi="Times New Roman;serif"/>
                <w:b/>
                <w:color w:val="000000"/>
                <w:sz w:val="18"/>
              </w:rPr>
              <w:t xml:space="preserve">New York, </w:t>
            </w:r>
            <w:r>
              <w:rPr>
                <w:rFonts w:ascii="Times New Roman;serif" w:hAnsi="Times New Roman;serif"/>
                <w:b/>
                <w:color w:val="000000"/>
                <w:sz w:val="20"/>
              </w:rPr>
              <w:t>New York</w:t>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10018</w:t>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(212) 888-3124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6" w:space="0" w:color="000000"/>
              <w:left w:val="single" w:sz="6" w:space="0" w:color="000000"/>
              <w:right w:val="single" w:sz="6"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69"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$0.0001 par value per share</w:t>
            </w:r>
          </w:p>
        </w:tc>
        <w:tc>
          <w:tcPr>
            <w:tcW w:w="1454"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PGNY</w:t>
            </w:r>
          </w:p>
        </w:tc>
        <w:tc>
          <w:tcPr>
            <w:tcW w:w="3314" w:type="dxa"/>
            <w:gridSpan w:val="3"/>
            <w:tcBorders>
              <w:top w:val="single" w:sz="6" w:space="0" w:color="000000"/>
              <w:left w:val="single" w:sz="6" w:space="0" w:color="000000"/>
              <w:bottom w:val="single" w:sz="6" w:space="0" w:color="000000"/>
              <w:right w:val="single" w:sz="6"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720"/>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As of July 31, 2026, the registrant had 76,726,798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7"/>
        <w:gridCol w:w="270"/>
        <w:gridCol w:w="272"/>
        <w:gridCol w:w="2946"/>
        <w:gridCol w:w="2946"/>
        <w:gridCol w:w="2951"/>
        <w:gridCol w:w="149"/>
        <w:gridCol w:w="149"/>
        <w:gridCol w:w="215"/>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6">
              <w:r>
                <w:rPr>
                  <w:rStyle w:val="InternetLink"/>
                  <w:rFonts w:ascii="Times New Roman;serif" w:hAnsi="Times New Roman;serif"/>
                  <w:b/>
                  <w:color w:val="0000FF"/>
                  <w:sz w:val="20"/>
                  <w:u w:val="single"/>
                </w:rPr>
                <w:t>PART I.</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6">
              <w:r>
                <w:rPr>
                  <w:rStyle w:val="InternetLink"/>
                  <w:rFonts w:ascii="Times New Roman;serif" w:hAnsi="Times New Roman;serif"/>
                  <w:b/>
                  <w:color w:val="0000FF"/>
                  <w:sz w:val="20"/>
                  <w:u w:val="single"/>
                </w:rPr>
                <w:t>FINANCIAL INFORMATION</w:t>
              </w:r>
            </w:hyperlink>
          </w:p>
        </w:tc>
        <w:tc>
          <w:tcPr>
            <w:tcW w:w="51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9">
              <w:r>
                <w:rPr>
                  <w:rStyle w:val="InternetLink"/>
                  <w:rFonts w:ascii="Times New Roman;serif" w:hAnsi="Times New Roman;serif"/>
                  <w:b w:val="false"/>
                  <w:color w:val="0000FF"/>
                  <w:sz w:val="20"/>
                  <w:u w:val="single"/>
                </w:rPr>
                <w:t>Item 1.</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9">
              <w:r>
                <w:rPr>
                  <w:rStyle w:val="InternetLink"/>
                  <w:rFonts w:ascii="Times New Roman;serif" w:hAnsi="Times New Roman;serif"/>
                  <w:b w:val="false"/>
                  <w:color w:val="0000FF"/>
                  <w:sz w:val="20"/>
                  <w:u w:val="single"/>
                </w:rPr>
                <w:t>Financial Statements (Unaudited)</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22">
              <w:r>
                <w:rPr>
                  <w:rStyle w:val="InternetLink"/>
                  <w:rFonts w:ascii="Times New Roman;serif" w:hAnsi="Times New Roman;serif"/>
                  <w:b w:val="false"/>
                  <w:color w:val="0000FF"/>
                  <w:sz w:val="20"/>
                  <w:u w:val="single"/>
                </w:rPr>
                <w:t>Consolidated Balance Sheets as of June 30, 2026 and December 31, 2025</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22">
              <w:r>
                <w:rPr>
                  <w:rStyle w:val="InternetLink"/>
                  <w:rFonts w:ascii="Times New Roman;serif" w:hAnsi="Times New Roman;serif"/>
                  <w:b w:val="false"/>
                  <w:color w:val="0000FF"/>
                  <w:sz w:val="20"/>
                  <w:u w:val="single"/>
                </w:rPr>
                <w:t>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589">
              <w:r>
                <w:rPr>
                  <w:rStyle w:val="InternetLink"/>
                  <w:rFonts w:ascii="Times New Roman;serif" w:hAnsi="Times New Roman;serif"/>
                  <w:b w:val="false"/>
                  <w:color w:val="0000FF"/>
                  <w:sz w:val="20"/>
                  <w:u w:val="single"/>
                </w:rPr>
                <w:t>Consolidated Statements of Operations for the Three and Six Months Ended June 30, 2026 and 2025</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589">
              <w:r>
                <w:rPr>
                  <w:rStyle w:val="InternetLink"/>
                  <w:rFonts w:ascii="Times New Roman;serif" w:hAnsi="Times New Roman;serif"/>
                  <w:b w:val="false"/>
                  <w:color w:val="0000FF"/>
                  <w:sz w:val="20"/>
                  <w:u w:val="single"/>
                </w:rPr>
                <w:t>7</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649267442363">
              <w:r>
                <w:rPr>
                  <w:rStyle w:val="InternetLink"/>
                  <w:rFonts w:ascii="Times New Roman;serif" w:hAnsi="Times New Roman;serif"/>
                  <w:b w:val="false"/>
                  <w:color w:val="0000FF"/>
                  <w:sz w:val="20"/>
                  <w:u w:val="single"/>
                </w:rPr>
                <w:t>Consolidated Statements of Comprehensive Income for the Three and Six Months Ended June 30, 2026 and 2025</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649267442363">
              <w:r>
                <w:rPr>
                  <w:rStyle w:val="InternetLink"/>
                  <w:rFonts w:ascii="Times New Roman;serif" w:hAnsi="Times New Roman;serif"/>
                  <w:b w:val="false"/>
                  <w:color w:val="0000FF"/>
                  <w:sz w:val="20"/>
                  <w:u w:val="single"/>
                </w:rPr>
                <w:t>8</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9791209300629">
              <w:r>
                <w:rPr>
                  <w:rStyle w:val="InternetLink"/>
                  <w:rFonts w:ascii="Times New Roman;serif" w:hAnsi="Times New Roman;serif"/>
                  <w:b w:val="false"/>
                  <w:color w:val="0000FF"/>
                  <w:sz w:val="20"/>
                  <w:u w:val="single"/>
                </w:rPr>
                <w:t>Consolidated Statements of Changes in Stockholders’ Equity for the Three and Six Months Ended June 30, 2026 and 2025</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9791209300629">
              <w:r>
                <w:rPr>
                  <w:rStyle w:val="InternetLink"/>
                  <w:rFonts w:ascii="Times New Roman;serif" w:hAnsi="Times New Roman;serif"/>
                  <w:b w:val="false"/>
                  <w:color w:val="0000FF"/>
                  <w:sz w:val="20"/>
                  <w:u w:val="single"/>
                </w:rPr>
                <w:t>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34">
              <w:r>
                <w:rPr>
                  <w:rStyle w:val="InternetLink"/>
                  <w:rFonts w:ascii="Times New Roman;serif" w:hAnsi="Times New Roman;serif"/>
                  <w:b w:val="false"/>
                  <w:color w:val="0000FF"/>
                  <w:sz w:val="20"/>
                  <w:u w:val="single"/>
                </w:rPr>
                <w:t>Consolidated Statements of Cash Flows for the Six Months Ended June 30, 2026 and 2025</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34">
              <w:r>
                <w:rPr>
                  <w:rStyle w:val="InternetLink"/>
                  <w:rFonts w:ascii="Times New Roman;serif" w:hAnsi="Times New Roman;serif"/>
                  <w:b w:val="false"/>
                  <w:color w:val="0000FF"/>
                  <w:sz w:val="20"/>
                  <w:u w:val="single"/>
                </w:rPr>
                <w:t>10</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37">
              <w:r>
                <w:rPr>
                  <w:rStyle w:val="InternetLink"/>
                  <w:rFonts w:ascii="Times New Roman;serif" w:hAnsi="Times New Roman;serif"/>
                  <w:b w:val="false"/>
                  <w:color w:val="0000FF"/>
                  <w:sz w:val="20"/>
                  <w:u w:val="single"/>
                </w:rPr>
                <w:t>Notes to Consolidated Financial Statements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37">
              <w:r>
                <w:rPr>
                  <w:rStyle w:val="InternetLink"/>
                  <w:rFonts w:ascii="Times New Roman;serif" w:hAnsi="Times New Roman;serif"/>
                  <w:b w:val="false"/>
                  <w:color w:val="0000FF"/>
                  <w:sz w:val="20"/>
                  <w:u w:val="single"/>
                </w:rPr>
                <w:t>11</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67">
              <w:r>
                <w:rPr>
                  <w:rStyle w:val="InternetLink"/>
                  <w:rFonts w:ascii="Times New Roman;serif" w:hAnsi="Times New Roman;serif"/>
                  <w:b w:val="false"/>
                  <w:color w:val="0000FF"/>
                  <w:sz w:val="20"/>
                  <w:u w:val="single"/>
                </w:rPr>
                <w:t>Item 2.</w:t>
              </w:r>
            </w:hyperlink>
          </w:p>
        </w:tc>
        <w:tc>
          <w:tcPr>
            <w:tcW w:w="884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67">
              <w:r>
                <w:rPr>
                  <w:rStyle w:val="InternetLink"/>
                  <w:rFonts w:ascii="Times New Roman;serif" w:hAnsi="Times New Roman;serif"/>
                  <w:b w:val="false"/>
                  <w:color w:val="0000FF"/>
                  <w:sz w:val="20"/>
                  <w:u w:val="single"/>
                </w:rPr>
                <w:t>25</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3">
              <w:r>
                <w:rPr>
                  <w:rStyle w:val="InternetLink"/>
                  <w:rFonts w:ascii="Times New Roman;serif" w:hAnsi="Times New Roman;serif"/>
                  <w:b w:val="false"/>
                  <w:color w:val="0000FF"/>
                  <w:sz w:val="20"/>
                  <w:u w:val="single"/>
                </w:rPr>
                <w:t>Item 3.</w:t>
              </w:r>
            </w:hyperlink>
          </w:p>
        </w:tc>
        <w:tc>
          <w:tcPr>
            <w:tcW w:w="884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3">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03">
              <w:r>
                <w:rPr>
                  <w:rStyle w:val="InternetLink"/>
                  <w:rFonts w:ascii="Times New Roman;serif" w:hAnsi="Times New Roman;serif"/>
                  <w:b w:val="false"/>
                  <w:color w:val="0000FF"/>
                  <w:sz w:val="20"/>
                  <w:u w:val="single"/>
                </w:rPr>
                <w:t>41</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6">
              <w:r>
                <w:rPr>
                  <w:rStyle w:val="InternetLink"/>
                  <w:rFonts w:ascii="Times New Roman;serif" w:hAnsi="Times New Roman;serif"/>
                  <w:b w:val="false"/>
                  <w:color w:val="0000FF"/>
                  <w:sz w:val="20"/>
                  <w:u w:val="single"/>
                </w:rPr>
                <w:t>Item 4.</w:t>
              </w:r>
            </w:hyperlink>
          </w:p>
        </w:tc>
        <w:tc>
          <w:tcPr>
            <w:tcW w:w="884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6">
              <w:r>
                <w:rPr>
                  <w:rStyle w:val="InternetLink"/>
                  <w:rFonts w:ascii="Times New Roman;serif" w:hAnsi="Times New Roman;serif"/>
                  <w:b w:val="false"/>
                  <w:color w:val="0000FF"/>
                  <w:sz w:val="20"/>
                  <w:u w:val="single"/>
                </w:rPr>
                <w:t>Controls and Procedures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06">
              <w:r>
                <w:rPr>
                  <w:rStyle w:val="InternetLink"/>
                  <w:rFonts w:ascii="Times New Roman;serif" w:hAnsi="Times New Roman;serif"/>
                  <w:b w:val="false"/>
                  <w:color w:val="0000FF"/>
                  <w:sz w:val="20"/>
                  <w:u w:val="single"/>
                </w:rPr>
                <w:t>42</w:t>
              </w:r>
            </w:hyperlink>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9">
              <w:r>
                <w:rPr>
                  <w:rStyle w:val="InternetLink"/>
                  <w:rFonts w:ascii="Times New Roman;serif" w:hAnsi="Times New Roman;serif"/>
                  <w:b/>
                  <w:color w:val="0000FF"/>
                  <w:sz w:val="20"/>
                  <w:u w:val="single"/>
                </w:rPr>
                <w:t>PART II.</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9">
              <w:r>
                <w:rPr>
                  <w:rStyle w:val="InternetLink"/>
                  <w:rFonts w:ascii="Times New Roman;serif" w:hAnsi="Times New Roman;serif"/>
                  <w:b/>
                  <w:color w:val="0000FF"/>
                  <w:sz w:val="20"/>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2">
              <w:r>
                <w:rPr>
                  <w:rStyle w:val="InternetLink"/>
                  <w:rFonts w:ascii="Times New Roman;serif" w:hAnsi="Times New Roman;serif"/>
                  <w:b w:val="false"/>
                  <w:color w:val="0000FF"/>
                  <w:sz w:val="20"/>
                  <w:u w:val="single"/>
                </w:rPr>
                <w:t>Item 1.</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2">
              <w:r>
                <w:rPr>
                  <w:rStyle w:val="InternetLink"/>
                  <w:rFonts w:ascii="Times New Roman;serif" w:hAnsi="Times New Roman;serif"/>
                  <w:b w:val="false"/>
                  <w:color w:val="0000FF"/>
                  <w:sz w:val="20"/>
                  <w:u w:val="single"/>
                </w:rPr>
                <w:t>Legal Proceedings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12">
              <w:r>
                <w:rPr>
                  <w:rStyle w:val="InternetLink"/>
                  <w:rFonts w:ascii="Times New Roman;serif" w:hAnsi="Times New Roman;serif"/>
                  <w:b w:val="false"/>
                  <w:color w:val="0000FF"/>
                  <w:sz w:val="20"/>
                  <w:u w:val="single"/>
                </w:rPr>
                <w:t>43</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5">
              <w:r>
                <w:rPr>
                  <w:rStyle w:val="InternetLink"/>
                  <w:rFonts w:ascii="Times New Roman;serif" w:hAnsi="Times New Roman;serif"/>
                  <w:b w:val="false"/>
                  <w:color w:val="0000FF"/>
                  <w:sz w:val="20"/>
                  <w:u w:val="single"/>
                </w:rPr>
                <w:t>Item 1A.</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5">
              <w:r>
                <w:rPr>
                  <w:rStyle w:val="InternetLink"/>
                  <w:rFonts w:ascii="Times New Roman;serif" w:hAnsi="Times New Roman;serif"/>
                  <w:b w:val="false"/>
                  <w:color w:val="0000FF"/>
                  <w:sz w:val="20"/>
                  <w:u w:val="single"/>
                </w:rPr>
                <w:t>Risk Factors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15">
              <w:r>
                <w:rPr>
                  <w:rStyle w:val="InternetLink"/>
                  <w:rFonts w:ascii="Times New Roman;serif" w:hAnsi="Times New Roman;serif"/>
                  <w:b w:val="false"/>
                  <w:color w:val="0000FF"/>
                  <w:sz w:val="20"/>
                  <w:u w:val="single"/>
                </w:rPr>
                <w:t>43</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8">
              <w:r>
                <w:rPr>
                  <w:rStyle w:val="InternetLink"/>
                  <w:rFonts w:ascii="Times New Roman;serif" w:hAnsi="Times New Roman;serif"/>
                  <w:b w:val="false"/>
                  <w:color w:val="0000FF"/>
                  <w:sz w:val="20"/>
                  <w:u w:val="single"/>
                </w:rPr>
                <w:t>Item 2.</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8">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18">
              <w:r>
                <w:rPr>
                  <w:rStyle w:val="InternetLink"/>
                  <w:rFonts w:ascii="Times New Roman;serif" w:hAnsi="Times New Roman;serif"/>
                  <w:b w:val="false"/>
                  <w:color w:val="0000FF"/>
                  <w:sz w:val="20"/>
                  <w:u w:val="single"/>
                </w:rPr>
                <w:t>68</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1">
              <w:r>
                <w:rPr>
                  <w:rStyle w:val="InternetLink"/>
                  <w:rFonts w:ascii="Times New Roman;serif" w:hAnsi="Times New Roman;serif"/>
                  <w:b w:val="false"/>
                  <w:color w:val="0000FF"/>
                  <w:sz w:val="20"/>
                  <w:u w:val="single"/>
                </w:rPr>
                <w:t>Item 3.</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1">
              <w:r>
                <w:rPr>
                  <w:rStyle w:val="InternetLink"/>
                  <w:rFonts w:ascii="Times New Roman;serif" w:hAnsi="Times New Roman;serif"/>
                  <w:b w:val="false"/>
                  <w:color w:val="0000FF"/>
                  <w:sz w:val="20"/>
                  <w:u w:val="single"/>
                </w:rPr>
                <w:t>Defaults Upon Senior Securities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21">
              <w:r>
                <w:rPr>
                  <w:rStyle w:val="InternetLink"/>
                  <w:rFonts w:ascii="Times New Roman;serif" w:hAnsi="Times New Roman;serif"/>
                  <w:b w:val="false"/>
                  <w:color w:val="0000FF"/>
                  <w:sz w:val="20"/>
                  <w:u w:val="single"/>
                </w:rPr>
                <w:t>69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4">
              <w:r>
                <w:rPr>
                  <w:rStyle w:val="InternetLink"/>
                  <w:rFonts w:ascii="Times New Roman;serif" w:hAnsi="Times New Roman;serif"/>
                  <w:b w:val="false"/>
                  <w:color w:val="0000FF"/>
                  <w:sz w:val="20"/>
                  <w:u w:val="single"/>
                </w:rPr>
                <w:t>Item 4.</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4">
              <w:r>
                <w:rPr>
                  <w:rStyle w:val="InternetLink"/>
                  <w:rFonts w:ascii="Times New Roman;serif" w:hAnsi="Times New Roman;serif"/>
                  <w:b w:val="false"/>
                  <w:color w:val="0000FF"/>
                  <w:sz w:val="20"/>
                  <w:u w:val="single"/>
                </w:rPr>
                <w:t>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24">
              <w:r>
                <w:rPr>
                  <w:rStyle w:val="InternetLink"/>
                  <w:rFonts w:ascii="Times New Roman;serif" w:hAnsi="Times New Roman;serif"/>
                  <w:b w:val="false"/>
                  <w:color w:val="0000FF"/>
                  <w:sz w:val="20"/>
                  <w:u w:val="single"/>
                </w:rPr>
                <w:t>69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7">
              <w:r>
                <w:rPr>
                  <w:rStyle w:val="InternetLink"/>
                  <w:rFonts w:ascii="Times New Roman;serif" w:hAnsi="Times New Roman;serif"/>
                  <w:b w:val="false"/>
                  <w:color w:val="0000FF"/>
                  <w:sz w:val="20"/>
                  <w:u w:val="single"/>
                </w:rPr>
                <w:t>Item 5.</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7">
              <w:r>
                <w:rPr>
                  <w:rStyle w:val="InternetLink"/>
                  <w:rFonts w:ascii="Times New Roman;serif" w:hAnsi="Times New Roman;serif"/>
                  <w:b w:val="false"/>
                  <w:color w:val="0000FF"/>
                  <w:sz w:val="20"/>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27">
              <w:r>
                <w:rPr>
                  <w:rStyle w:val="InternetLink"/>
                  <w:rFonts w:ascii="Times New Roman;serif" w:hAnsi="Times New Roman;serif"/>
                  <w:b w:val="false"/>
                  <w:color w:val="0000FF"/>
                  <w:sz w:val="20"/>
                  <w:u w:val="single"/>
                </w:rPr>
                <w:t>70</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30">
              <w:r>
                <w:rPr>
                  <w:rStyle w:val="InternetLink"/>
                  <w:rFonts w:ascii="Times New Roman;serif" w:hAnsi="Times New Roman;serif"/>
                  <w:b w:val="false"/>
                  <w:color w:val="0000FF"/>
                  <w:sz w:val="20"/>
                  <w:u w:val="single"/>
                </w:rPr>
                <w:t>Item 6.</w:t>
              </w:r>
            </w:hyperlink>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30">
              <w:r>
                <w:rPr>
                  <w:rStyle w:val="InternetLink"/>
                  <w:rFonts w:ascii="Times New Roman;serif" w:hAnsi="Times New Roman;serif"/>
                  <w:b w:val="false"/>
                  <w:color w:val="0000FF"/>
                  <w:sz w:val="20"/>
                  <w:u w:val="single"/>
                </w:rPr>
                <w:t>Exhibits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30">
              <w:r>
                <w:rPr>
                  <w:rStyle w:val="InternetLink"/>
                  <w:rFonts w:ascii="Times New Roman;serif" w:hAnsi="Times New Roman;serif"/>
                  <w:b w:val="false"/>
                  <w:color w:val="0000FF"/>
                  <w:sz w:val="20"/>
                  <w:u w:val="single"/>
                </w:rPr>
                <w:t>71</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33">
              <w:r>
                <w:rPr>
                  <w:rStyle w:val="InternetLink"/>
                  <w:rFonts w:ascii="Times New Roman;serif" w:hAnsi="Times New Roman;serif"/>
                  <w:b w:val="false"/>
                  <w:color w:val="0000FF"/>
                  <w:sz w:val="20"/>
                  <w:u w:val="single"/>
                </w:rPr>
                <w:t>Signatures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33">
              <w:r>
                <w:rPr>
                  <w:rStyle w:val="InternetLink"/>
                  <w:rFonts w:ascii="Times New Roman;serif" w:hAnsi="Times New Roman;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SUMMARY OF RISKS AFFECTING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shd w:fill="FFFFFF" w:val="clear"/>
        </w:rPr>
        <w:t>We may fail to meet our publicly announced guidance or other expectations about our business and future results of operations, which would cause our stock price to decline.</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shd w:fill="FFFFFF" w:val="clear"/>
        </w:rPr>
        <w:t xml:space="preserve">The market in which we operate is highly competitive, and, if we do not continue to compete effectively, our business, financial condition and results of operations could be harmed. </w:t>
      </w:r>
    </w:p>
    <w:p>
      <w:pPr>
        <w:pStyle w:val="TextBody"/>
        <w:bidi w:val="0"/>
        <w:spacing w:lineRule="auto" w:line="276" w:before="0" w:after="240"/>
        <w:ind w:left="0" w:right="0" w:hanging="360"/>
        <w:jc w:val="both"/>
        <w:rPr/>
      </w:pPr>
      <w:r>
        <w:rPr>
          <w:color w:val="000000"/>
          <w:shd w:fill="FFFFFF" w:val="clear"/>
        </w:rPr>
        <w:t>•</w:t>
      </w:r>
      <w:r>
        <w:rPr>
          <w:rFonts w:ascii="Times New Roman;serif" w:hAnsi="Times New Roman;serif"/>
          <w:b w:val="false"/>
          <w:color w:val="000000"/>
          <w:sz w:val="20"/>
        </w:rPr>
        <w:t>Unfavorable conditions in the global economy or our industry could limit our ability to grow our business and negatively affect our results of operations.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Our business depends on our ability to retain our existing clients and increase the adoption of our services within our client base. Any failure to do so would harm our business, financial condition and results of operations.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 xml:space="preserve">Our largest clients account for a significant portion of our revenue. In addition, a significant number of our clients are in the technology industry, and we generate a significant portion of our revenue from these clients. The loss of one or more of these clients, changes to pricing terms with these clients or changes within the technology industry could negatively impact our business, financial condition and results of operations. </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If we are unable to attract new clients, our business, financial condition and results of operations would be adversely affected.</w:t>
      </w:r>
    </w:p>
    <w:p>
      <w:pPr>
        <w:pStyle w:val="TextBody"/>
        <w:bidi w:val="0"/>
        <w:spacing w:lineRule="auto" w:line="276" w:before="0" w:after="240"/>
        <w:ind w:left="0" w:right="0" w:hanging="360"/>
        <w:jc w:val="both"/>
        <w:rPr/>
      </w:pPr>
      <w:r>
        <w:rPr>
          <w:color w:val="000000"/>
          <w:shd w:fill="FFFFFF" w:val="clear"/>
        </w:rPr>
        <w:t>•</w:t>
      </w:r>
      <w:r>
        <w:rPr>
          <w:rFonts w:ascii="Times New Roman;serif" w:hAnsi="Times New Roman;serif"/>
          <w:b w:val="false"/>
          <w:color w:val="000000"/>
          <w:sz w:val="20"/>
        </w:rPr>
        <w:t>A significant change in the utilization of our solutions, including the consumption rate or the mix of utilization, could have an adverse effect on our business, financial condition and results of operations.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 xml:space="preserve">We operate in a highly regulated industry and must comply with a significant number of new and evolving legal and regulatory requirements, as well as complex judicial mandates, which could have an adverse impact on our business. </w:t>
      </w:r>
    </w:p>
    <w:p>
      <w:pPr>
        <w:pStyle w:val="TextBody"/>
        <w:bidi w:val="0"/>
        <w:spacing w:lineRule="auto" w:line="276" w:before="0" w:after="240"/>
        <w:ind w:left="0" w:right="0" w:hanging="360"/>
        <w:jc w:val="both"/>
        <w:rPr/>
      </w:pPr>
      <w:r>
        <w:rPr>
          <w:color w:val="000000"/>
          <w:shd w:fill="FFFFFF" w:val="clear"/>
        </w:rPr>
        <w:t>•</w:t>
      </w:r>
      <w:r>
        <w:rPr>
          <w:rFonts w:ascii="Times New Roman;serif" w:hAnsi="Times New Roman;serif"/>
          <w:b w:val="false"/>
          <w:color w:val="000000"/>
          <w:sz w:val="20"/>
        </w:rPr>
        <w:t xml:space="preserve">Acquisitions, strategic investments, or partnerships could be difficult to identify, pose integration challenges, divert the attention of management, disrupt our business, dilute stockholder value, and adversely affect our business, financial condition and results of operations. </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 xml:space="preserve">We have a limited operating history with our current platform of solutions, which makes it difficult to predict our future results of operations. </w:t>
      </w:r>
    </w:p>
    <w:p>
      <w:pPr>
        <w:pStyle w:val="TextBody"/>
        <w:bidi w:val="0"/>
        <w:spacing w:lineRule="auto" w:line="276" w:before="0" w:after="240"/>
        <w:ind w:left="0" w:right="0" w:hanging="360"/>
        <w:jc w:val="both"/>
        <w:rPr/>
      </w:pPr>
      <w:r>
        <w:rPr>
          <w:color w:val="000000"/>
          <w:shd w:fill="FFFFFF" w:val="clear"/>
        </w:rPr>
        <w:t>•</w:t>
      </w:r>
      <w:r>
        <w:rPr>
          <w:rFonts w:ascii="Times New Roman;serif" w:hAnsi="Times New Roman;serif"/>
          <w:b w:val="false"/>
          <w:color w:val="000000"/>
          <w:sz w:val="20"/>
          <w:shd w:fill="FFFFFF" w:val="clear"/>
        </w:rPr>
        <w:t>The health benefits industry may be subject to negative publicity, which could adversely affect our business, financial condition and results of operations.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 xml:space="preserve">Our use of artificial intelligence may subject us to new or heightened legal, regulatory, ethical, operational or other challenges. </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Our growth depends in part on the success of our strategic relationships with, and monitoring of, third parties, including channel partners and vendors as well as insurance carriers.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 xml:space="preserve">If we fail to maintain an efficient pharmacy distribution network or if there is a disruption to our network of specialty pharmacies or their supply chains or business economics, our business, financial condition and results of operations could suffer. </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are part of the broader healthcare industry and subject to increasing scrutiny, business requirements and regulation within our business, including with respect to Progyny Rx’s PBM operations, which may adversely affect our business, financial condition and results of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Quarterly Report on Form 10-Q to the terms “Progyny,” “the Company,” “we,” “our” and “us” refer to Progyny, Inc. and its wholly owned subsidiaries.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pStyle w:val="TextBody"/>
        <w:bidi w:val="0"/>
        <w:spacing w:lineRule="auto" w:line="288" w:before="240" w:after="283"/>
        <w:jc w:val="both"/>
        <w:rPr/>
      </w:pPr>
      <w:r>
        <w:rPr>
          <w:rFonts w:ascii="Times New Roman;serif" w:hAnsi="Times New Roman;serif"/>
          <w:b w:val="false"/>
          <w:color w:val="000000"/>
          <w:sz w:val="20"/>
        </w:rPr>
        <w:t xml:space="preserve">We announce material information to the public through filings with the SEC, our investor relations website at </w:t>
      </w:r>
      <w:r>
        <w:rPr>
          <w:rFonts w:ascii="Times New Roman;serif" w:hAnsi="Times New Roman;serif"/>
          <w:b w:val="false"/>
          <w:i/>
          <w:color w:val="000000"/>
          <w:sz w:val="20"/>
        </w:rPr>
        <w:t>investors.progyny.com</w:t>
      </w:r>
      <w:r>
        <w:rPr>
          <w:rFonts w:ascii="Times New Roman;serif" w:hAnsi="Times New Roman;serif"/>
          <w:b w:val="false"/>
          <w:color w:val="000000"/>
          <w:sz w:val="20"/>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PROGYNY,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3119"/>
        <w:gridCol w:w="2227"/>
        <w:gridCol w:w="2193"/>
        <w:gridCol w:w="211"/>
        <w:gridCol w:w="826"/>
        <w:gridCol w:w="109"/>
        <w:gridCol w:w="109"/>
        <w:gridCol w:w="109"/>
        <w:gridCol w:w="109"/>
        <w:gridCol w:w="211"/>
        <w:gridCol w:w="826"/>
        <w:gridCol w:w="156"/>
      </w:tblGrid>
      <w:tr>
        <w:trPr/>
        <w:tc>
          <w:tcPr>
            <w:tcW w:w="311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$54,735 and $55,659 of allowances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513,018 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551,775 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715,836 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742,435 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240,084 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202,391 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262,579 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226,391 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Commitments and Contingencies </w:t>
            </w:r>
            <w:r>
              <w:rPr>
                <w:rFonts w:ascii="Times New Roman;serif" w:hAnsi="Times New Roman;serif"/>
                <w:b w:val="false"/>
                <w:i/>
                <w:color w:val="000000"/>
                <w:sz w:val="20"/>
              </w:rPr>
              <w:t>(Note 7)</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at June 30, 2026 and December 31, 2025, respectively; 99,774,414 and 99,049,485 shares issued; 77,390,288 and 83,365,696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$0.0001 par value; 23,000,106 and 16,299,769 shares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stockholders’ equity </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453,257 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516,044 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stockholders’ equity </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715,836 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742,435 </w:t>
            </w:r>
          </w:p>
        </w:tc>
        <w:tc>
          <w:tcPr>
            <w:tcW w:w="1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PROGYNY,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88"/>
        <w:gridCol w:w="1385"/>
        <w:gridCol w:w="1345"/>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68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332,874 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679,015 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656,912 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154,768 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106,240 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75,382 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48,528 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41,137 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78,020 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53,614 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78,165,235 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85,766,254 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79,528,569 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85,644,091 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82,141,428 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89,638,677 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83,476,446 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89,507,906 </w:t>
            </w:r>
          </w:p>
        </w:tc>
        <w:tc>
          <w:tcPr>
            <w:tcW w:w="15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PROGYNY,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922"/>
        <w:gridCol w:w="1672"/>
        <w:gridCol w:w="1690"/>
        <w:gridCol w:w="277"/>
        <w:gridCol w:w="338"/>
        <w:gridCol w:w="338"/>
        <w:gridCol w:w="139"/>
        <w:gridCol w:w="139"/>
        <w:gridCol w:w="139"/>
        <w:gridCol w:w="277"/>
        <w:gridCol w:w="338"/>
        <w:gridCol w:w="338"/>
        <w:gridCol w:w="109"/>
        <w:gridCol w:w="109"/>
        <w:gridCol w:w="109"/>
        <w:gridCol w:w="248"/>
        <w:gridCol w:w="338"/>
        <w:gridCol w:w="338"/>
        <w:gridCol w:w="124"/>
        <w:gridCol w:w="124"/>
        <w:gridCol w:w="124"/>
        <w:gridCol w:w="248"/>
        <w:gridCol w:w="298"/>
        <w:gridCol w:w="429"/>
      </w:tblGrid>
      <w:tr>
        <w:trPr/>
        <w:tc>
          <w:tcPr>
            <w:tcW w:w="192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32,171</w:t>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before reclassifications</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gains on the sale of marketable securities into net income</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on unrealized loss on marketable securities</w:t>
            </w:r>
          </w:p>
        </w:tc>
        <w:tc>
          <w:tcPr>
            <w:tcW w:w="95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2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95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2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77"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28,020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32,350</w:t>
            </w:r>
          </w:p>
        </w:tc>
      </w:tr>
      <w:tr>
        <w:trPr/>
        <w:tc>
          <w:tcPr>
            <w:tcW w:w="5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PROGYNY,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Stockholders’ Equity</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(Unaudited)</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(in thousands, except share amounts)</w:t>
      </w:r>
    </w:p>
    <w:tbl>
      <w:tblPr>
        <w:tblW w:w="10431" w:type="dxa"/>
        <w:jc w:val="center"/>
        <w:tblInd w:w="0" w:type="dxa"/>
        <w:tblLayout w:type="fixed"/>
        <w:tblCellMar>
          <w:top w:w="28" w:type="dxa"/>
          <w:left w:w="28" w:type="dxa"/>
          <w:bottom w:w="28" w:type="dxa"/>
          <w:right w:w="28" w:type="dxa"/>
        </w:tblCellMar>
      </w:tblPr>
      <w:tblGrid>
        <w:gridCol w:w="770"/>
        <w:gridCol w:w="200"/>
        <w:gridCol w:w="201"/>
        <w:gridCol w:w="480"/>
        <w:gridCol w:w="481"/>
        <w:gridCol w:w="196"/>
        <w:gridCol w:w="109"/>
        <w:gridCol w:w="109"/>
        <w:gridCol w:w="109"/>
        <w:gridCol w:w="248"/>
        <w:gridCol w:w="305"/>
        <w:gridCol w:w="138"/>
        <w:gridCol w:w="109"/>
        <w:gridCol w:w="109"/>
        <w:gridCol w:w="109"/>
        <w:gridCol w:w="196"/>
        <w:gridCol w:w="751"/>
        <w:gridCol w:w="109"/>
        <w:gridCol w:w="109"/>
        <w:gridCol w:w="109"/>
        <w:gridCol w:w="109"/>
        <w:gridCol w:w="196"/>
        <w:gridCol w:w="736"/>
        <w:gridCol w:w="109"/>
        <w:gridCol w:w="109"/>
        <w:gridCol w:w="109"/>
        <w:gridCol w:w="109"/>
        <w:gridCol w:w="197"/>
        <w:gridCol w:w="743"/>
        <w:gridCol w:w="111"/>
        <w:gridCol w:w="109"/>
        <w:gridCol w:w="109"/>
        <w:gridCol w:w="109"/>
        <w:gridCol w:w="328"/>
        <w:gridCol w:w="705"/>
        <w:gridCol w:w="183"/>
        <w:gridCol w:w="109"/>
        <w:gridCol w:w="109"/>
        <w:gridCol w:w="109"/>
        <w:gridCol w:w="196"/>
        <w:gridCol w:w="736"/>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
              <w:jc w:val="left"/>
              <w:rPr>
                <w:rFonts w:ascii="Times New Roman;serif" w:hAnsi="Times New Roman;serif"/>
                <w:b/>
                <w:color w:val="000000"/>
                <w:sz w:val="16"/>
              </w:rPr>
            </w:pPr>
            <w:r>
              <w:rPr>
                <w:rFonts w:ascii="Times New Roman;serif" w:hAnsi="Times New Roman;serif"/>
                <w:b/>
                <w:color w:val="000000"/>
                <w:sz w:val="16"/>
              </w:rPr>
              <w:t>For the three months ended June 30, 2026:</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78,270,386 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(505,760)</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717,759 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227,059 </w:t>
            </w:r>
          </w:p>
        </w:tc>
        <w:tc>
          <w:tcPr>
            <w:tcW w:w="111"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employee equity awards, net of shares withheld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308,415 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21,175 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(1,188,513)</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(31,765)</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77,390,288 </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(537,525)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735,417 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255,111 </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8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453,257 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
              <w:jc w:val="left"/>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85,669,824 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159,366 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467,159 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employee equity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257,687 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85,927,511 </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(303,889)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642,206 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176,478 </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8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515,022 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
              <w:jc w:val="left"/>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83,365,696 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700,785 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202,827 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employee equity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724,929 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(6,899)</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(6,700,337)</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(149,450)</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77,390,288 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(537,525)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735,417 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255,111 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453,257 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
              <w:jc w:val="left"/>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85,310,698 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144,307 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employee equity awards, net of shares withheld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616,813 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(5,475)</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96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85,927,511 </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(303,889)</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642,206 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176,478 </w:t>
            </w:r>
          </w:p>
        </w:tc>
        <w:tc>
          <w:tcPr>
            <w:tcW w:w="1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515,022 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PROGYNY,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 xml:space="preserve">(Unaudited)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(in thousands)</w:t>
      </w:r>
    </w:p>
    <w:tbl>
      <w:tblPr>
        <w:tblW w:w="10149" w:type="dxa"/>
        <w:jc w:val="center"/>
        <w:tblInd w:w="0" w:type="dxa"/>
        <w:tblLayout w:type="fixed"/>
        <w:tblCellMar>
          <w:top w:w="28" w:type="dxa"/>
          <w:left w:w="28" w:type="dxa"/>
          <w:bottom w:w="28" w:type="dxa"/>
          <w:right w:w="28" w:type="dxa"/>
        </w:tblCellMar>
      </w:tblPr>
      <w:tblGrid>
        <w:gridCol w:w="2789"/>
        <w:gridCol w:w="2447"/>
        <w:gridCol w:w="2459"/>
        <w:gridCol w:w="196"/>
        <w:gridCol w:w="736"/>
        <w:gridCol w:w="109"/>
        <w:gridCol w:w="109"/>
        <w:gridCol w:w="109"/>
        <w:gridCol w:w="109"/>
        <w:gridCol w:w="196"/>
        <w:gridCol w:w="736"/>
        <w:gridCol w:w="154"/>
      </w:tblGrid>
      <w:tr>
        <w:trPr/>
        <w:tc>
          <w:tcPr>
            <w:tcW w:w="278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of discounts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96,374 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105,318 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Sale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100,146 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(124,525)</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excise tax from repurchase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employee taxes related to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contributions to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(156,008)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(5,617)</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(24,772)</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154,603 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137,542 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 included within 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 included within 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154,603 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137,542 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 received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of property and equipment, net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recorded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payable on common stock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employee taxes related to equity awards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18"/>
        </w:rPr>
        <w:t>The accompanying notes are an integral part of these unaudited consolidated financial statements</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PROGYNY,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1.Business and 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Progyny, Inc. (together with its subsidiaries referred to as “Progyny” or the “Company”) was incorporated in the state of Delaware on April 3, 2008, and maintains its corporate headquarters in New York, NY.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Progyny Rx is the integrated pharmacy benefits solution that is available as an add-on service by the Company's members to the fertility benefits solution.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recently expanded its offerings to include pregnancy and postpartum, menopause and midlife, benefit and leave navigation, and parent and child wellbeing solutions (collectively referred to as the "Other solutions"). The Other solutions are not material to the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under which certain footnote disclosures included within the annual financial statements are condensed or omitted. These interim consolidated financial statements have been prepared on a basis consistent with the annual consolidated financial statements and, in the opinion of management, include all adjustments necessary to fairly state the Company's financial position as of June 30, 2026, the results of the Company's operations for the three and six months ended June 30, 2026 and 2025 and the results of the Company's cash flows for the six months ended June 30, 2026 and 2025. Therefore, these unaudited consolidated financial statements should be read in conjunction with the audited consolidated financial statements and related footnotes included in the Company’s Annual Report on Form 10-K for the fiscal year ended December 31, 2025, filed with the SEC on February 27, 2026 (the “Annual Report on Form 10-K”).</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for the three and six months ended June 30, 2026 are not necessarily indicative of the operating results expected for the year ending December 31, 2026 or any other future period. The Company will continue to assess these potential impacts to its business and will make adjustments to its operations 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2.Significant Accounting Policies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significant accounting policies as compared to the significant accounting policies described in Note 2 of the Company’s Annual Report on Form 10-K.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the promised goods or services is transferred to clients in an amount that reflects the consideration the Company expects to be entitled to in exchange for those goods or services.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following five-step model to recognize revenue from contracts with clients: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Identification of the contract, or contracts, with a client;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Identification of the performance obligations in the contract;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Determination of the transaction price;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Allocation of the transaction price to the performance obligations in the contract;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Recognition of revenue when, or as, a performance obligation is satisfied.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Progyny’s contracts typically have a stated term of three years and include contractual termination options after the first year, allowing the client to terminate the contract with 30 to 90 days’ notice.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Fertility Benefits Solution 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Progyny’s contracts also include potential service level agreement refunds related to outcome-based service metrics. These service level refunds, which are determined based on results of a full plan year, if met, are based on a percentage of the PEPM fee paid by clients. In addition, certain client contracts include service level agreement refunds related to financial metrics for a full plan year. The Company estimates the variable consideration for service level agreement refunds using the expected value method and 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Pharmacy Benefits Solution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Progyny’s contracts include the following sources of consideration, all of which are variable: a PEPM administration fee (in most, but not all contracts) and a fixed fee per fertility drug. As described above, the PEPM administration fee and estimated refunds related to service level agreements are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June 30, 2026 and December 31, 2025.</w:t>
      </w:r>
    </w:p>
    <w:p>
      <w:pPr>
        <w:pStyle w:val="TextBody"/>
        <w:bidi w:val="0"/>
        <w:spacing w:lineRule="auto" w:line="288" w:before="240" w:after="283"/>
        <w:jc w:val="left"/>
        <w:rPr/>
      </w:pPr>
      <w:r>
        <w:rPr>
          <w:rFonts w:ascii="Times New Roman;serif" w:hAnsi="Times New Roman;serif"/>
          <w:b/>
          <w:i/>
          <w:color w:val="000000"/>
          <w:sz w:val="20"/>
        </w:rPr>
        <w:t>A</w:t>
      </w:r>
      <w:r>
        <w:rPr>
          <w:rFonts w:ascii="Times New Roman;serif" w:hAnsi="Times New Roman;serif"/>
          <w:b/>
          <w:i/>
          <w:color w:val="000000"/>
          <w:sz w:val="20"/>
          <w:shd w:fill="FFFFFF" w:val="clear"/>
        </w:rPr>
        <w:t>ccrued Receivables and Accrued Claims Payable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accrued receivables were $69.0 million and $54.9 million, respectively. Accrued receivables are included within accounts receivable, net in the consolidated balance sheet.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claims payable of $41.2 million and $30.0 million as of June 30, 2026 and December 31, 2025, respectively, are included within accrued expenses and other current liabilities in the consolidated balance sheet. Claims payable are generally paid within 30 days based on contractual terms.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unbilled receivables, which represent claims received and approved but unbilled at the end of the reporting period, were $36.4 million and $33.9 million, respectively. Unbilled receivables are typically billed to clients within 30 days of the approved claim based on the contractual billing schedule agreed upon with the client. Unbilled receivables are included in accounts receivable, net in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Accounts Receivable and Allowance for Doubtful Accounts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and current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in the consolidated statements of operations</w:t>
      </w:r>
      <w:r>
        <w:rPr>
          <w:rFonts w:ascii="Times New Roman;serif" w:hAnsi="Times New Roman;serif"/>
          <w:b w:val="false"/>
          <w:color w:val="000000"/>
          <w:sz w:val="20"/>
          <w:shd w:fill="FFFFFF" w:val="clear"/>
        </w:rPr>
        <w:t xml:space="preserve">.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w:t>
      </w:r>
      <w:r>
        <w:rPr>
          <w:rFonts w:ascii="Times New Roman;serif" w:hAnsi="Times New Roman;serif"/>
          <w:b w:val="false"/>
          <w:color w:val="000000"/>
          <w:sz w:val="20"/>
        </w:rPr>
        <w:t>The following table provides a summary of the activity in this allowance (in thousands):</w:t>
      </w:r>
    </w:p>
    <w:tbl>
      <w:tblPr>
        <w:tblW w:w="8689" w:type="dxa"/>
        <w:jc w:val="left"/>
        <w:tblInd w:w="0" w:type="dxa"/>
        <w:tblLayout w:type="fixed"/>
        <w:tblCellMar>
          <w:top w:w="28" w:type="dxa"/>
          <w:left w:w="28" w:type="dxa"/>
          <w:bottom w:w="28" w:type="dxa"/>
          <w:right w:w="28" w:type="dxa"/>
        </w:tblCellMar>
      </w:tblPr>
      <w:tblGrid>
        <w:gridCol w:w="1003"/>
        <w:gridCol w:w="882"/>
        <w:gridCol w:w="890"/>
        <w:gridCol w:w="109"/>
        <w:gridCol w:w="109"/>
        <w:gridCol w:w="109"/>
        <w:gridCol w:w="428"/>
        <w:gridCol w:w="336"/>
        <w:gridCol w:w="340"/>
        <w:gridCol w:w="109"/>
        <w:gridCol w:w="109"/>
        <w:gridCol w:w="109"/>
        <w:gridCol w:w="523"/>
        <w:gridCol w:w="336"/>
        <w:gridCol w:w="340"/>
        <w:gridCol w:w="109"/>
        <w:gridCol w:w="109"/>
        <w:gridCol w:w="109"/>
        <w:gridCol w:w="421"/>
        <w:gridCol w:w="396"/>
        <w:gridCol w:w="399"/>
        <w:gridCol w:w="109"/>
        <w:gridCol w:w="109"/>
        <w:gridCol w:w="109"/>
        <w:gridCol w:w="366"/>
        <w:gridCol w:w="296"/>
        <w:gridCol w:w="425"/>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Balance at</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Beginning</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Charged</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to Costs</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Balance</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at End</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of Period</w:t>
            </w:r>
          </w:p>
        </w:tc>
      </w:tr>
      <w:tr>
        <w:trPr/>
        <w:tc>
          <w:tcPr>
            <w:tcW w:w="27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54,735</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Fertility Benefits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Pharmacy Benefits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Vendor Rebates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consist primarily of personnel and related expenses, including salaries, bonuses, benefits, and stock-based compensation expense for employees engaged in research and development activities as well as third-party vendor costs. All such costs are expensed as incurred and are included within general and administrative expense in the consolidated statement of operations. The Company focuses its research and development efforts on activities related to the design, development, testing and enhancement of its product offerings and technology platforms. For the three months ended June 30, 2026 and 2025, research and development costs were $3.3 million and $2.3 million, respectively. For the six months ended June 30, 2026 and 2025, research and development costs were $6.1 million and $3.8 million respectively.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In December 2023, the FASB issued ASU No.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The standard is intended to enhance the transparency and decision usefulness of income tax disclosures primarily through changes to the rate reconciliation and income taxes paid information. The Company adopted this standard prospectively in the annual period beginning January 1, 2025. The adoption of this standard did not have a material impact on the Company's consolidated financial statements.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 Measurement of Credit Losses for Accounts Receivable and Contract Assets.</w:t>
      </w:r>
      <w:r>
        <w:rPr>
          <w:color w:val="000000"/>
        </w:rPr>
        <w:t xml:space="preserve"> </w:t>
      </w:r>
      <w:r>
        <w:rPr>
          <w:rFonts w:ascii="Times New Roman;serif" w:hAnsi="Times New Roman;serif"/>
          <w:b w:val="false"/>
          <w:color w:val="000000"/>
          <w:sz w:val="20"/>
        </w:rPr>
        <w:t>The amendment in ASU 2025-05 provides entities with a practical expedient to simplify the estimation of expected credit losses by assuming that the current conditions as of the balance sheet date will not change for the remaining life of the asset. The Company adopted this standard prospectively in the annual period beginning January 1, 2026, and elected the practical expedient. The adoption of this standard did not have a material impact on the Company's consolidated financial statements.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Accounting Pronouncements Issued but Not Yet Adopted</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The standard is intended to provide enhanced transparency into the nature of expenses and requires more detailed information on specific expense categories (purchases 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Intangibles—Goodwill and Other—Internal-Use Software (Subtopic 350-40): </w:t>
      </w:r>
      <w:r>
        <w:rPr>
          <w:rFonts w:ascii="Times New Roman;serif" w:hAnsi="Times New Roman;serif"/>
          <w:b w:val="false"/>
          <w:color w:val="000000"/>
          <w:sz w:val="20"/>
        </w:rPr>
        <w:t>Targeted Improvements to the Accounting for Internal-Use Software</w:t>
      </w:r>
      <w:r>
        <w:rPr>
          <w:rFonts w:ascii="Times New Roman;serif" w:hAnsi="Times New Roman;serif"/>
          <w:b w:val="false"/>
          <w:i/>
          <w:color w:val="000000"/>
          <w:sz w:val="20"/>
        </w:rPr>
        <w:t xml:space="preserve">. </w:t>
      </w:r>
      <w:r>
        <w:rPr>
          <w:rFonts w:ascii="Times New Roman;serif" w:hAnsi="Times New Roman;serif"/>
          <w:b w:val="false"/>
          <w:color w:val="000000"/>
          <w:sz w:val="20"/>
        </w:rPr>
        <w:t>The amendments in this update are intended to improve the operability of the guidance by removing all references to software development project stages so that the guidance is neutral to different software development methods, including methods that entities may use to develop software in the future. The amendments in this update will be effective for the Company for the fiscal year, including interim periods, beginning January 1, 2028. Early adoption is permitted. The Company is currently evaluating the impact of the new standard on its consolidated financial statements.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In December 2025, the FASB issued ASU 2025-11,</w:t>
      </w:r>
      <w:r>
        <w:rPr>
          <w:color w:val="000000"/>
        </w:rPr>
        <w:t xml:space="preserve">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provides clarity on the current interim reporting requirements by improving the navigability of the required interim disclosures, clarifying when that guidance is applicable, and applying Topic 270 to disclose events since the end of the last annual reporting period that have a material impact on the entity. The amendment will be effective for the Company for the fiscal year, including interim periods, beginning January 1, 2028. Early adoption is permitted. The Company is currently evaluating the impact of the new standard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3.Revenue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revenue by service (in thousands): </w:t>
      </w:r>
    </w:p>
    <w:tbl>
      <w:tblPr>
        <w:tblW w:w="8684" w:type="dxa"/>
        <w:jc w:val="left"/>
        <w:tblInd w:w="0" w:type="dxa"/>
        <w:tblLayout w:type="fixed"/>
        <w:tblCellMar>
          <w:top w:w="28" w:type="dxa"/>
          <w:left w:w="28" w:type="dxa"/>
          <w:bottom w:w="28" w:type="dxa"/>
          <w:right w:w="28" w:type="dxa"/>
        </w:tblCellMar>
      </w:tblPr>
      <w:tblGrid>
        <w:gridCol w:w="1114"/>
        <w:gridCol w:w="976"/>
        <w:gridCol w:w="9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Fertility benefits services revenue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benefits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332,874 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679,015 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656,912 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revenue from the Other solutions, which is not significant in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4.Fair Value of Financial Instruments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that are accessible at the measurement date for identical assets or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Level 3 — Prices or valuation techniques that require inputs that are both significant to the fair value of the asset or liability and supported by little or no market activity.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observable market data when available, and minimizes the use of unobservable inputs when determining fair value. The carrying amounts of certain of the Company’s financial instruments, including cash equivalents, marketable securities, accounts receivable and accounts payable approximates fair value due to their short maturities.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$156.2 million and $112.5 million, respectively, in financial assets held in money market accounts and $84.3 million and $197.9 million, respectively, held in marketable securities, including U.S. treasury bills. The Company measures these assets at fair value and all were classified as Level 1 in the fair value hierarchy. The Company classified these assets as Level 1 because the values of these assets are determined using unadjusted quoted prices in active markets for identical assets. For the three months ended June 30, 2026 and 2025, interest income on cash, cash equivalents, restricted cash, and marketable securities, including the accretion of discounts on investments, was $1.5 million and $2.4 million, respectively. For the six months ended June 30, 2026 and 2025, interest income on cash, cash equivalents, restricted cash, and marketable securities, including the accretion of discounts on investments, was $3.4 million and $4.7 million,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had no significant gross realized gains or losses related to marketable securities included within earnings.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on marketable securities are excluded from earnings and reported as a component of other comprehensive income (loss). As of June 30, 2026, unrealized gains and losses on marketable securities are not significant and, as such, the amortized cost of these securities approximates fair value.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did not maintain any assets or liabilities classified as Level 2 or Level 3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5.Leases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2019, the Company’s sublease agreement for a 25,212 square foot office in its corporate headquarters in New York, NY commenced and is scheduled to expire in May 2029. Pursuant to the sublease, the Company is obligated to pay the base rent of approximately $1.3 million per annum through the end of the fifth lease year and approximately $1.4 million per annum thereafter through the expiration date.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2023, the Company's lease agreement for the additional 24,099 square foot office in its corporate offices (entered into in February 2022) commenced in New York, NY and expires in April 2036. Pursuant to the lease, the Company is obligated to pay the base rent of approximately $1.4 million per annum through the end of the fifth lease year and approximately $1.5 million per annum thereafter through the expiration date.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 $10.1 million and $10.0 million, respectively. Pursuant to the lease, the Company is obligated to pay the base rent of approximately $1.3 million</w:t>
      </w:r>
      <w:r>
        <w:rPr>
          <w:color w:val="000000"/>
        </w:rPr>
        <w:t xml:space="preserve"> </w:t>
      </w:r>
      <w:r>
        <w:rPr>
          <w:rFonts w:ascii="Times New Roman;serif" w:hAnsi="Times New Roman;serif"/>
          <w:b w:val="false"/>
          <w:color w:val="000000"/>
          <w:sz w:val="20"/>
        </w:rPr>
        <w:t>per annum through the end of the fifth lease year and approximately $1.4 million</w:t>
      </w:r>
      <w:r>
        <w:rPr>
          <w:color w:val="000000"/>
        </w:rPr>
        <w:t xml:space="preserve"> </w:t>
      </w:r>
      <w:r>
        <w:rPr>
          <w:rFonts w:ascii="Times New Roman;serif" w:hAnsi="Times New Roman;serif"/>
          <w:b w:val="false"/>
          <w:color w:val="000000"/>
          <w:sz w:val="20"/>
        </w:rPr>
        <w:t>per annum thereafter through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lease expense on a straight-line basis over the lease term. Lease expense for the Company's operating lease for the three months ended June 30, 2026 and 2025 was $1.1 million and $1.0 million, respectively. For the six months ended June 30, 2026 and 2025, lease expense was $2.1 million and $1.8 million,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outflows from operating activities attributable to the operating leases for the six months ended June 30, 2026 and 2025 was $1.4 million and $1.5 million,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Information related to the Company's leases is as follows (in thousands):</w:t>
      </w:r>
    </w:p>
    <w:tbl>
      <w:tblPr>
        <w:tblW w:w="10205" w:type="dxa"/>
        <w:jc w:val="left"/>
        <w:tblInd w:w="0" w:type="dxa"/>
        <w:tblLayout w:type="fixed"/>
        <w:tblCellMar>
          <w:top w:w="28" w:type="dxa"/>
          <w:left w:w="28" w:type="dxa"/>
          <w:bottom w:w="28" w:type="dxa"/>
          <w:right w:w="28" w:type="dxa"/>
        </w:tblCellMar>
      </w:tblPr>
      <w:tblGrid>
        <w:gridCol w:w="758"/>
        <w:gridCol w:w="654"/>
        <w:gridCol w:w="643"/>
        <w:gridCol w:w="1651"/>
        <w:gridCol w:w="1599"/>
        <w:gridCol w:w="1604"/>
        <w:gridCol w:w="109"/>
        <w:gridCol w:w="109"/>
        <w:gridCol w:w="109"/>
        <w:gridCol w:w="493"/>
        <w:gridCol w:w="335"/>
        <w:gridCol w:w="341"/>
        <w:gridCol w:w="109"/>
        <w:gridCol w:w="109"/>
        <w:gridCol w:w="109"/>
        <w:gridCol w:w="634"/>
        <w:gridCol w:w="354"/>
        <w:gridCol w:w="485"/>
      </w:tblGrid>
      <w:tr>
        <w:trPr/>
        <w:tc>
          <w:tcPr>
            <w:tcW w:w="7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Leases</w:t>
            </w:r>
          </w:p>
        </w:tc>
        <w:tc>
          <w:tcPr>
            <w:tcW w:w="4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4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24,990</w:t>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48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4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Other information</w:t>
            </w:r>
          </w:p>
        </w:tc>
        <w:tc>
          <w:tcPr>
            <w:tcW w:w="4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years</w:t>
            </w:r>
          </w:p>
        </w:tc>
      </w:tr>
      <w:tr>
        <w:trPr/>
        <w:tc>
          <w:tcPr>
            <w:tcW w:w="6909"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facility lease payments as of June 30, 2026 are as follows (in thousands):</w:t>
      </w:r>
    </w:p>
    <w:tbl>
      <w:tblPr>
        <w:tblW w:w="8036" w:type="dxa"/>
        <w:jc w:val="left"/>
        <w:tblInd w:w="0" w:type="dxa"/>
        <w:tblLayout w:type="fixed"/>
        <w:tblCellMar>
          <w:top w:w="28" w:type="dxa"/>
          <w:left w:w="28" w:type="dxa"/>
          <w:bottom w:w="28" w:type="dxa"/>
          <w:right w:w="28" w:type="dxa"/>
        </w:tblCellMar>
      </w:tblPr>
      <w:tblGrid>
        <w:gridCol w:w="1502"/>
        <w:gridCol w:w="1323"/>
        <w:gridCol w:w="1330"/>
        <w:gridCol w:w="109"/>
        <w:gridCol w:w="109"/>
        <w:gridCol w:w="109"/>
        <w:gridCol w:w="1582"/>
        <w:gridCol w:w="816"/>
        <w:gridCol w:w="1156"/>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 Payments as of June 30, 2026</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4,341</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4,346</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3,560</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15,606</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33,188</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26,970</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current portion of operating lease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22,495</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February 2022 Lease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Company commenced its lease for the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current 25,212 square foot office, the Company is obligated to pay the base rent of approximately $1.6 million per year beginning in June 2029, which is the lease commencement, through April 2036, the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6.Debt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2025, the Company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to the Company a maximum aggregate amount of $200 million, subject to customary borrowing conditions, until maturity on July 1, 2030. Interest on the borrowings under the Credit Agreement accrues, at a variable rate, based on, at the Company’s option (i) adjusted Secured Overnight Financing Rate, or (ii) the alternate base rate, plus, in each case, an applicable margin. The applicable margin is determined by reference to the Company’s total leverage ratio, as specified in the Credit Agreement. Interest is payable on each Interest Payment Date, as specified in the Credit Agreement. Borrowings under the Credit Agreement may be repaid or reborrowed at any time.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representations and warranties and covenants, including, among other things, covenants that restrict or limit the ability of the Company to incur certain additional indebtedness; create liens; engage in mergers or consolidations; make certain payments or distributions in respect of junior and unsecured indebtedness, dividends or equity interest; make certain investments; dispose of certain assets; engage in sale and lease-back transactions; engage in certain affiliate transactions; make certain modifications to the terms of junior and unsecured indebtedness, as well as negative pledge provisions, subject to customary exceptions, and customary financial covenants, including a total leverage ratio covenant and an interest coverage ratio covenant. The Company was in compliance with all financial covenants under the Credit Agreement as of June 30, 2026.</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entering into the Facility in 2025, the Company capitalized issuance costs of $3.1 million related to the Facility, which were included within other noncurrent assets in the consolidated balance sheet and are amortized over the life of the Credit Agreement. For the three and six months ended June 30, 2026, interest expense, including amortization of issuance costs, was $0.3 million and $0.6 million, respectively. As of the date of this filing, no amounts were drawn under the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7.Commitments and Contingencies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16"/>
        </w:rPr>
        <w:t>8.</w:t>
      </w:r>
      <w:r>
        <w:rPr>
          <w:rFonts w:ascii="Times New Roman;serif" w:hAnsi="Times New Roman;serif"/>
          <w:b/>
          <w:color w:val="000000"/>
          <w:sz w:val="20"/>
        </w:rPr>
        <w:t>Stockholders’ Equity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 Repurchase Programs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Company’s Board of Directors authorized a share repurchase program of up to $200 million in shares of common stock (the “November 2025 share repurchase program”). In May 2026, the Company's Board of Directors authorized an additional share repurchase program of up to $200 million in shares of common stock (the “May 2026 share repurchase program", and together with the November 2025 share repurchase program, the ("share repurchase programs").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Repurchases under the May 2026 share repurchase program may be made in the form of open market repurchases, including through plans complying with Rule 10b5-1 under the Exchange Act, depending on stock price, market conditions, and other factors, as determined by the Company. There can be no assurance as to the total number of shares that will be repurchased by the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repurchased a total of 6,700,337 shares of common stock under the share repurchase programs at an average price per share of $22.08 and a total cost of $148.1 million, inclusive of $0.2 million in trading fees. In addition, the Company recognized $1.3 million of excise taxes related to the share repurchases. As of June 30, 2026, $168.5 million remained available for purchases under the May 2026 share repurchase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November 2025 share repurchase program was completed in March 2026, and no amounts remained available for repurchase under the program. As of the date of this filing, the Company repurchased a total of 2,052,571 shares of common stock under the May 2026 share repurchase program for a total cost of $58.5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stock-based compensation expense, which was included in the statements of operations as follows (in thousands): </w:t>
      </w:r>
    </w:p>
    <w:tbl>
      <w:tblPr>
        <w:tblW w:w="8640"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18,940 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32,383 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40,199 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64,895 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consisted of the following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31"/>
        <w:gridCol w:w="507"/>
        <w:gridCol w:w="509"/>
        <w:gridCol w:w="375"/>
        <w:gridCol w:w="669"/>
        <w:gridCol w:w="195"/>
        <w:gridCol w:w="109"/>
        <w:gridCol w:w="109"/>
        <w:gridCol w:w="109"/>
        <w:gridCol w:w="325"/>
        <w:gridCol w:w="717"/>
        <w:gridCol w:w="168"/>
        <w:gridCol w:w="109"/>
        <w:gridCol w:w="109"/>
        <w:gridCol w:w="109"/>
        <w:gridCol w:w="211"/>
        <w:gridCol w:w="466"/>
        <w:gridCol w:w="109"/>
        <w:gridCol w:w="109"/>
        <w:gridCol w:w="109"/>
        <w:gridCol w:w="109"/>
        <w:gridCol w:w="375"/>
        <w:gridCol w:w="669"/>
        <w:gridCol w:w="195"/>
        <w:gridCol w:w="109"/>
        <w:gridCol w:w="109"/>
        <w:gridCol w:w="109"/>
        <w:gridCol w:w="325"/>
        <w:gridCol w:w="717"/>
        <w:gridCol w:w="168"/>
        <w:gridCol w:w="109"/>
        <w:gridCol w:w="109"/>
        <w:gridCol w:w="109"/>
        <w:gridCol w:w="211"/>
        <w:gridCol w:w="466"/>
        <w:gridCol w:w="162"/>
      </w:tblGrid>
      <w:tr>
        <w:trPr/>
        <w:tc>
          <w:tcPr>
            <w:tcW w:w="103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or losses on marketable securities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or losses on marketable securities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(loss) income before reclassifications, net of tax</w:t>
            </w:r>
            <w:r>
              <w:rPr>
                <w:rFonts w:ascii="Times New Roman;serif" w:hAnsi="Times New Roman;serif"/>
                <w:b w:val="false"/>
                <w:color w:val="000000"/>
                <w:sz w:val="13"/>
              </w:rPr>
              <w:t>(1)</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accumulated other comprehensive income, net of tax</w:t>
            </w:r>
            <w:r>
              <w:rPr>
                <w:rFonts w:ascii="Times New Roman;serif" w:hAnsi="Times New Roman;serif"/>
                <w:b w:val="false"/>
                <w:color w:val="000000"/>
                <w:sz w:val="13"/>
              </w:rPr>
              <w:t>(3)</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2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1"/>
        <w:gridCol w:w="507"/>
        <w:gridCol w:w="509"/>
        <w:gridCol w:w="331"/>
        <w:gridCol w:w="734"/>
        <w:gridCol w:w="174"/>
        <w:gridCol w:w="109"/>
        <w:gridCol w:w="109"/>
        <w:gridCol w:w="109"/>
        <w:gridCol w:w="325"/>
        <w:gridCol w:w="717"/>
        <w:gridCol w:w="168"/>
        <w:gridCol w:w="109"/>
        <w:gridCol w:w="109"/>
        <w:gridCol w:w="109"/>
        <w:gridCol w:w="211"/>
        <w:gridCol w:w="466"/>
        <w:gridCol w:w="109"/>
        <w:gridCol w:w="109"/>
        <w:gridCol w:w="109"/>
        <w:gridCol w:w="109"/>
        <w:gridCol w:w="375"/>
        <w:gridCol w:w="669"/>
        <w:gridCol w:w="195"/>
        <w:gridCol w:w="109"/>
        <w:gridCol w:w="109"/>
        <w:gridCol w:w="109"/>
        <w:gridCol w:w="325"/>
        <w:gridCol w:w="717"/>
        <w:gridCol w:w="168"/>
        <w:gridCol w:w="109"/>
        <w:gridCol w:w="109"/>
        <w:gridCol w:w="109"/>
        <w:gridCol w:w="211"/>
        <w:gridCol w:w="466"/>
        <w:gridCol w:w="162"/>
      </w:tblGrid>
      <w:tr>
        <w:trPr/>
        <w:tc>
          <w:tcPr>
            <w:tcW w:w="103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or losses on marketable securities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or losses on marketable securities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(loss) income before reclassifications, net of tax</w:t>
            </w:r>
            <w:r>
              <w:rPr>
                <w:rFonts w:ascii="Times New Roman;serif" w:hAnsi="Times New Roman;serif"/>
                <w:b w:val="false"/>
                <w:color w:val="000000"/>
                <w:sz w:val="13"/>
              </w:rPr>
              <w:t>(2)</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accumulated other comprehensive income, net of tax</w:t>
            </w:r>
            <w:r>
              <w:rPr>
                <w:rFonts w:ascii="Times New Roman;serif" w:hAnsi="Times New Roman;serif"/>
                <w:b w:val="false"/>
                <w:color w:val="000000"/>
                <w:sz w:val="13"/>
              </w:rPr>
              <w:t>(3)</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2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3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unrealized losses of $0.1 million, net of tax benefit of $0.0 million, for the three months ended June 30, 2026 and unrealized losses of $0.0 million, net of tax benefit of $0.0 million, for the three months ended June 30, 2025.</w:t>
      </w:r>
    </w:p>
    <w:p>
      <w:pPr>
        <w:pStyle w:val="TextBody"/>
        <w:bidi w:val="0"/>
        <w:spacing w:lineRule="auto" w:line="276"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unrealized losses of $0.2 million, net of tax benefit of $0.0 million, for the six months ended June 30, 2026 and unrealized losses of $0.1 million, net of tax benefit of $0.0 million, for the six months ended June 30, 2025</w:t>
      </w:r>
      <w:r>
        <w:rPr>
          <w:rFonts w:ascii="Times New Roman;serif" w:hAnsi="Times New Roman;serif"/>
          <w:b w:val="false"/>
          <w:color w:val="000000"/>
          <w:sz w:val="13"/>
        </w:rPr>
        <w:t>.</w:t>
      </w:r>
    </w:p>
    <w:p>
      <w:pPr>
        <w:pStyle w:val="TextBody"/>
        <w:bidi w:val="0"/>
        <w:spacing w:lineRule="auto" w:line="276"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The effects on net income of amounts reclassified from accumulated other comprehensive income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132"/>
        <w:gridCol w:w="995"/>
        <w:gridCol w:w="998"/>
        <w:gridCol w:w="109"/>
        <w:gridCol w:w="109"/>
        <w:gridCol w:w="109"/>
        <w:gridCol w:w="238"/>
        <w:gridCol w:w="459"/>
        <w:gridCol w:w="122"/>
        <w:gridCol w:w="122"/>
        <w:gridCol w:w="122"/>
        <w:gridCol w:w="122"/>
        <w:gridCol w:w="238"/>
        <w:gridCol w:w="459"/>
        <w:gridCol w:w="122"/>
        <w:gridCol w:w="109"/>
        <w:gridCol w:w="109"/>
        <w:gridCol w:w="109"/>
        <w:gridCol w:w="230"/>
        <w:gridCol w:w="394"/>
        <w:gridCol w:w="119"/>
        <w:gridCol w:w="119"/>
        <w:gridCol w:w="119"/>
        <w:gridCol w:w="119"/>
        <w:gridCol w:w="230"/>
        <w:gridCol w:w="443"/>
        <w:gridCol w:w="119"/>
        <w:gridCol w:w="109"/>
        <w:gridCol w:w="109"/>
        <w:gridCol w:w="109"/>
        <w:gridCol w:w="640"/>
        <w:gridCol w:w="640"/>
        <w:gridCol w:w="923"/>
      </w:tblGrid>
      <w:tr>
        <w:trPr/>
        <w:tc>
          <w:tcPr>
            <w:tcW w:w="113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Details about Accumulated Other Comprehensive Income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Statement of Operations</w:t>
            </w:r>
          </w:p>
        </w:tc>
      </w:tr>
      <w:tr>
        <w:trPr/>
        <w:tc>
          <w:tcPr>
            <w:tcW w:w="3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r>
      <w:tr>
        <w:trPr/>
        <w:tc>
          <w:tcPr>
            <w:tcW w:w="3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r>
      <w:tr>
        <w:trPr/>
        <w:tc>
          <w:tcPr>
            <w:tcW w:w="3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9.Income Taxes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 calculated its interim provision for income taxes by applying the estimated annual effective tax rate to year-to-date income before income taxes and adjusting for discrete tax items. The Company updates its estimate of the annual effective tax rate at the end of each reporting period based on its forecast of annual income before income taxes and the anticipated impact of significant permanent tax items. During the six months ended June 30, 2026 and 2025, the Company recorded a provision for income taxes of $25.7 million and $21.4 million, respectively, primarily attributable to operating profit and tax deficiencies related to stock-based compensation, recognized as a discrete tax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Acquisitions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11.Net Income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calculated by dividing the net income by the weighted-average number of shares of common stock outstanding for the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net income and the number of shares in the calculation of basic and diluted net income per share is as follows (in thousands, except share and per share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897"/>
        <w:gridCol w:w="1495"/>
        <w:gridCol w:w="1505"/>
        <w:gridCol w:w="283"/>
        <w:gridCol w:w="378"/>
        <w:gridCol w:w="380"/>
        <w:gridCol w:w="137"/>
        <w:gridCol w:w="137"/>
        <w:gridCol w:w="137"/>
        <w:gridCol w:w="283"/>
        <w:gridCol w:w="378"/>
        <w:gridCol w:w="380"/>
        <w:gridCol w:w="109"/>
        <w:gridCol w:w="109"/>
        <w:gridCol w:w="109"/>
        <w:gridCol w:w="276"/>
        <w:gridCol w:w="377"/>
        <w:gridCol w:w="379"/>
        <w:gridCol w:w="123"/>
        <w:gridCol w:w="123"/>
        <w:gridCol w:w="123"/>
        <w:gridCol w:w="279"/>
        <w:gridCol w:w="332"/>
        <w:gridCol w:w="476"/>
      </w:tblGrid>
      <w:tr>
        <w:trPr/>
        <w:tc>
          <w:tcPr>
            <w:tcW w:w="189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Basic net income per common share:</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32,171</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basic 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78,165,235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85,766,254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79,528,569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85,644,091</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per share </w:t>
            </w:r>
          </w:p>
        </w:tc>
        <w:tc>
          <w:tcPr>
            <w:tcW w:w="2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Diluted net income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32,171</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basic 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78,165,235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85,766,254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79,528,569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85,644,091</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dilutive securities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Options to purchase common stock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3,117,110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3,174,843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3,098,931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3,173,687</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Shares issuable under ESPP</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
              <w:jc w:val="right"/>
              <w:rPr>
                <w:color w:val="000000"/>
              </w:rPr>
            </w:pPr>
            <w:r>
              <w:rPr>
                <w:color w:val="00000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Restricted stock units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859,083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848,837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690,128</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effect of dilutive securities</w:t>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3,976,193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3,872,423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3,947,877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3,863,815</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diluted net income per share</w:t>
            </w:r>
          </w:p>
        </w:tc>
        <w:tc>
          <w:tcPr>
            <w:tcW w:w="10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82,141,428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89,638,677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9"/>
              <w:jc w:val="right"/>
              <w:rPr>
                <w:rFonts w:ascii="Times New Roman;serif" w:hAnsi="Times New Roman;serif"/>
                <w:b w:val="false"/>
                <w:color w:val="000000"/>
                <w:sz w:val="20"/>
              </w:rPr>
            </w:pPr>
            <w:r>
              <w:rPr>
                <w:rFonts w:ascii="Times New Roman;serif" w:hAnsi="Times New Roman;serif"/>
                <w:b w:val="false"/>
                <w:color w:val="000000"/>
                <w:sz w:val="20"/>
              </w:rPr>
              <w:t>83,476,446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89,507,906</w:t>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w:t>
            </w:r>
          </w:p>
        </w:tc>
        <w:tc>
          <w:tcPr>
            <w:tcW w:w="2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weighted-average outstanding shares of potentially dilutive securities were excluded from the computation of diluted net income per share for the periods presented because including them would have been antidilutive: </w:t>
      </w:r>
    </w:p>
    <w:tbl>
      <w:tblPr>
        <w:tblW w:w="8481" w:type="dxa"/>
        <w:jc w:val="left"/>
        <w:tblInd w:w="0" w:type="dxa"/>
        <w:tblLayout w:type="fixed"/>
        <w:tblCellMar>
          <w:top w:w="28" w:type="dxa"/>
          <w:left w:w="28" w:type="dxa"/>
          <w:bottom w:w="28" w:type="dxa"/>
          <w:right w:w="28" w:type="dxa"/>
        </w:tblCellMar>
      </w:tblPr>
      <w:tblGrid>
        <w:gridCol w:w="1073"/>
        <w:gridCol w:w="946"/>
        <w:gridCol w:w="950"/>
        <w:gridCol w:w="395"/>
        <w:gridCol w:w="395"/>
        <w:gridCol w:w="246"/>
        <w:gridCol w:w="178"/>
        <w:gridCol w:w="178"/>
        <w:gridCol w:w="178"/>
        <w:gridCol w:w="395"/>
        <w:gridCol w:w="395"/>
        <w:gridCol w:w="246"/>
        <w:gridCol w:w="109"/>
        <w:gridCol w:w="109"/>
        <w:gridCol w:w="109"/>
        <w:gridCol w:w="344"/>
        <w:gridCol w:w="344"/>
        <w:gridCol w:w="348"/>
        <w:gridCol w:w="154"/>
        <w:gridCol w:w="154"/>
        <w:gridCol w:w="154"/>
        <w:gridCol w:w="325"/>
        <w:gridCol w:w="325"/>
        <w:gridCol w:w="431"/>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15,522,001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15,199,884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15,522,238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15,207,450</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erif" w:hAnsi="Times New Roman;serif"/>
                <w:b w:val="false"/>
                <w:color w:val="000000"/>
                <w:sz w:val="20"/>
              </w:rPr>
            </w:pPr>
            <w:r>
              <w:rPr>
                <w:rFonts w:ascii="Times New Roman;serif" w:hAnsi="Times New Roman;serif"/>
                <w:b w:val="false"/>
                <w:color w:val="000000"/>
                <w:sz w:val="20"/>
              </w:rPr>
              <w:t>941,542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erif" w:hAnsi="Times New Roman;serif"/>
                <w:b w:val="false"/>
                <w:color w:val="000000"/>
                <w:sz w:val="20"/>
              </w:rPr>
            </w:pPr>
            <w:r>
              <w:rPr>
                <w:rFonts w:ascii="Times New Roman;serif" w:hAnsi="Times New Roman;serif"/>
                <w:b w:val="false"/>
                <w:color w:val="000000"/>
                <w:sz w:val="20"/>
              </w:rPr>
              <w:t>1,004,308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1,810,438</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36"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16,470,430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16,959,812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16,536,110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17,018,821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12.Segments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Progyny is a benefits management company specializing in fertility, family building and women's health benefits solutions. Substantially, all of the Company's revenues and assets are attributable to the United States.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chief operating decision maker (“CODM”) is the Chief Executive Officer. The Company determined it has one operating segment and one reportable segment, as the CODM manages the business and evaluates performance at the consolidated level.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net income to allocate resources (including personnel, technology, and capital resources) for the single segment to make decisions regarding the annual budget, ongoing operations, and strategic investments to drive the Company's strategy and mission.</w:t>
      </w:r>
    </w:p>
    <w:p>
      <w:pPr>
        <w:pStyle w:val="TextBody"/>
        <w:bidi w:val="0"/>
        <w:spacing w:before="0" w:after="0"/>
        <w:ind w:left="0" w:right="0" w:firstLine="720"/>
        <w:jc w:val="both"/>
        <w:rPr/>
      </w:pPr>
      <w:r>
        <w:rPr/>
      </w:r>
    </w:p>
    <w:tbl>
      <w:tblPr>
        <w:tblW w:w="7910" w:type="dxa"/>
        <w:jc w:val="left"/>
        <w:tblInd w:w="0" w:type="dxa"/>
        <w:tblLayout w:type="fixed"/>
        <w:tblCellMar>
          <w:top w:w="28" w:type="dxa"/>
          <w:left w:w="28" w:type="dxa"/>
          <w:bottom w:w="28" w:type="dxa"/>
          <w:right w:w="28" w:type="dxa"/>
        </w:tblCellMar>
      </w:tblPr>
      <w:tblGrid>
        <w:gridCol w:w="913"/>
        <w:gridCol w:w="803"/>
        <w:gridCol w:w="804"/>
        <w:gridCol w:w="285"/>
        <w:gridCol w:w="390"/>
        <w:gridCol w:w="390"/>
        <w:gridCol w:w="147"/>
        <w:gridCol w:w="147"/>
        <w:gridCol w:w="147"/>
        <w:gridCol w:w="285"/>
        <w:gridCol w:w="390"/>
        <w:gridCol w:w="391"/>
        <w:gridCol w:w="109"/>
        <w:gridCol w:w="109"/>
        <w:gridCol w:w="109"/>
        <w:gridCol w:w="249"/>
        <w:gridCol w:w="390"/>
        <w:gridCol w:w="390"/>
        <w:gridCol w:w="129"/>
        <w:gridCol w:w="129"/>
        <w:gridCol w:w="129"/>
        <w:gridCol w:w="249"/>
        <w:gridCol w:w="342"/>
        <w:gridCol w:w="48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Revenue</w:t>
            </w:r>
            <w:r>
              <w:rPr>
                <w:rFonts w:ascii="Times New Roman;serif" w:hAnsi="Times New Roman;serif"/>
                <w:b w:val="false"/>
                <w:color w:val="000000"/>
                <w:sz w:val="13"/>
              </w:rPr>
              <w:t>(1)</w:t>
            </w:r>
          </w:p>
        </w:tc>
        <w:tc>
          <w:tcPr>
            <w:tcW w:w="2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9"/>
              <w:jc w:val="right"/>
              <w:rPr>
                <w:rFonts w:ascii="Times New Roman;serif" w:hAnsi="Times New Roman;serif"/>
                <w:b w:val="false"/>
                <w:color w:val="000000"/>
                <w:sz w:val="20"/>
              </w:rPr>
            </w:pPr>
            <w:r>
              <w:rPr>
                <w:rFonts w:ascii="Times New Roman;serif" w:hAnsi="Times New Roman;serif"/>
                <w:b w:val="false"/>
                <w:color w:val="000000"/>
                <w:sz w:val="20"/>
              </w:rPr>
              <w:t>350,511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9"/>
              <w:jc w:val="right"/>
              <w:rPr>
                <w:rFonts w:ascii="Times New Roman;serif" w:hAnsi="Times New Roman;serif"/>
                <w:b w:val="false"/>
                <w:color w:val="000000"/>
                <w:sz w:val="20"/>
              </w:rPr>
            </w:pPr>
            <w:r>
              <w:rPr>
                <w:rFonts w:ascii="Times New Roman;serif" w:hAnsi="Times New Roman;serif"/>
                <w:b w:val="false"/>
                <w:color w:val="000000"/>
                <w:sz w:val="20"/>
              </w:rPr>
              <w:t>679,015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656,912</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261,210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506,643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502,144</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34,958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36,191</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31,224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62,032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70,049</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(5,086)</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21,443</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32,171</w:t>
            </w:r>
          </w:p>
        </w:tc>
      </w:tr>
    </w:tbl>
    <w:p>
      <w:pPr>
        <w:pStyle w:val="TextBody"/>
        <w:bidi w:val="0"/>
        <w:spacing w:before="0" w:after="0"/>
        <w:ind w:left="0" w:right="0" w:firstLine="720"/>
        <w:jc w:val="both"/>
        <w:rPr/>
      </w:pPr>
      <w:r>
        <w:rPr/>
      </w:r>
    </w:p>
    <w:p>
      <w:pPr>
        <w:pStyle w:val="TextBody"/>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Refer to footnote 3 for disaggregated revenue by service. </w:t>
      </w:r>
    </w:p>
    <w:tbl>
      <w:tblPr>
        <w:tblW w:w="4126" w:type="dxa"/>
        <w:jc w:val="left"/>
        <w:tblInd w:w="0" w:type="dxa"/>
        <w:tblLayout w:type="fixed"/>
        <w:tblCellMar>
          <w:top w:w="28" w:type="dxa"/>
          <w:left w:w="28" w:type="dxa"/>
          <w:bottom w:w="28" w:type="dxa"/>
          <w:right w:w="28" w:type="dxa"/>
        </w:tblCellMar>
      </w:tblPr>
      <w:tblGrid>
        <w:gridCol w:w="401"/>
        <w:gridCol w:w="353"/>
        <w:gridCol w:w="355"/>
        <w:gridCol w:w="211"/>
        <w:gridCol w:w="826"/>
        <w:gridCol w:w="109"/>
        <w:gridCol w:w="109"/>
        <w:gridCol w:w="109"/>
        <w:gridCol w:w="109"/>
        <w:gridCol w:w="273"/>
        <w:gridCol w:w="1072"/>
        <w:gridCol w:w="199"/>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715,836 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742,435 </w:t>
            </w:r>
          </w:p>
        </w:tc>
        <w:tc>
          <w:tcPr>
            <w:tcW w:w="19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2025, filed with the SEC on February 27, 2026.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Progyny is a global leader in women’s health and family building solutions. 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specialists and achieve optimal outcomes.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We launched our fertility benefits solution in 2016 with five employer clients and have since expanded our platform to include solutions in pregnancy and postpartum, menopause and midlife, benefit and leave navigation and parent and child wellbeing in order to address the continuum of women’s health. Today, we have grown our current base of clients to more than 600 with at least 1,000 covered lives. Our clients include many of the nation’s most prominent employers across a broad array of industries. We currently have contracts to provide coverage to approximately 7.2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+81 for our fertility benefits solution and +79</w:t>
      </w:r>
      <w:r>
        <w:rPr>
          <w:color w:val="FF0000"/>
        </w:rPr>
        <w:t xml:space="preserve"> </w:t>
      </w:r>
      <w:r>
        <w:rPr>
          <w:rFonts w:ascii="Times New Roman;serif" w:hAnsi="Times New Roman;serif"/>
          <w:b w:val="false"/>
          <w:color w:val="000000"/>
          <w:sz w:val="20"/>
        </w:rPr>
        <w:t>for Progyny Rx, our integrated pharmacy benefits solution, as of December 31, 2025. Our members experience healthier pregnancies and superior rates of pregnancy and live births, as well as reduced rates of miscarriages and multiple births, saving valuable time and money and limiting personal and professional disruption.</w:t>
      </w:r>
    </w:p>
    <w:tbl>
      <w:tblPr>
        <w:tblW w:w="10205" w:type="dxa"/>
        <w:jc w:val="left"/>
        <w:tblInd w:w="0" w:type="dxa"/>
        <w:tblLayout w:type="fixed"/>
        <w:tblCellMar>
          <w:top w:w="28" w:type="dxa"/>
          <w:left w:w="28" w:type="dxa"/>
          <w:bottom w:w="28" w:type="dxa"/>
          <w:right w:w="28" w:type="dxa"/>
        </w:tblCellMar>
      </w:tblPr>
      <w:tblGrid>
        <w:gridCol w:w="925"/>
        <w:gridCol w:w="762"/>
        <w:gridCol w:w="772"/>
        <w:gridCol w:w="109"/>
        <w:gridCol w:w="109"/>
        <w:gridCol w:w="109"/>
        <w:gridCol w:w="575"/>
        <w:gridCol w:w="515"/>
        <w:gridCol w:w="1282"/>
        <w:gridCol w:w="109"/>
        <w:gridCol w:w="109"/>
        <w:gridCol w:w="109"/>
        <w:gridCol w:w="507"/>
        <w:gridCol w:w="474"/>
        <w:gridCol w:w="1187"/>
        <w:gridCol w:w="109"/>
        <w:gridCol w:w="109"/>
        <w:gridCol w:w="109"/>
        <w:gridCol w:w="483"/>
        <w:gridCol w:w="444"/>
        <w:gridCol w:w="1298"/>
      </w:tblGrid>
      <w:tr>
        <w:trPr/>
        <w:tc>
          <w:tcPr>
            <w:tcW w:w="92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Outcome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National Averages for All Provider Clinics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Progyny In-Network Provider Clinic </w:t>
              <w:br/>
              <w:t xml:space="preserve">Averages </w:t>
              <w:br/>
              <w:t>for All Patients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 xml:space="preserve">Progyny In-Network Provider Clinic </w:t>
            </w:r>
          </w:p>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Averages</w:t>
            </w:r>
          </w:p>
          <w:p>
            <w:pPr>
              <w:pStyle w:val="TableContents"/>
              <w:bidi w:val="0"/>
              <w:spacing w:lineRule="auto" w:line="276" w:before="0" w:after="1"/>
              <w:jc w:val="center"/>
              <w:rPr/>
            </w:pPr>
            <w:r>
              <w:rPr>
                <w:rFonts w:ascii="Times New Roman;serif" w:hAnsi="Times New Roman;serif"/>
                <w:b/>
                <w:color w:val="000000"/>
                <w:sz w:val="16"/>
              </w:rPr>
              <w:t>for Progyny Members Only</w:t>
            </w:r>
            <w:r>
              <w:rPr>
                <w:rFonts w:ascii="Times New Roman;serif" w:hAnsi="Times New Roman;serif"/>
                <w:b/>
                <w:color w:val="000000"/>
                <w:sz w:val="8"/>
              </w:rPr>
              <w:t>(3)</w:t>
            </w:r>
          </w:p>
        </w:tc>
      </w:tr>
      <w:tr>
        <w:trPr/>
        <w:tc>
          <w:tcPr>
            <w:tcW w:w="24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Live birth rate per attempted retrieval</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2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2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Single embryo transfer rate</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1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Pregnancy rate per IVF transfer</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2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Miscarriage rate</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Live birth rate per transfer</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1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IVF multiples rate</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60" w:after="283"/>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Calculated based on the Society for </w:t>
      </w:r>
      <w:r>
        <w:rPr>
          <w:rFonts w:ascii="Times New Roman;serif" w:hAnsi="Times New Roman;serif"/>
          <w:b w:val="false"/>
          <w:color w:val="000000"/>
          <w:sz w:val="20"/>
          <w:shd w:fill="FFFFFF" w:val="clear"/>
        </w:rPr>
        <w:t>Assisted Reproducti</w:t>
      </w:r>
      <w:r>
        <w:rPr>
          <w:rFonts w:ascii="Times New Roman;serif" w:hAnsi="Times New Roman;serif"/>
          <w:b w:val="false"/>
          <w:color w:val="000000"/>
          <w:sz w:val="20"/>
        </w:rPr>
        <w:t>ve Technology, or SART, 2021 National Summary Report, finalized in 2024.</w:t>
      </w:r>
    </w:p>
    <w:p>
      <w:pPr>
        <w:pStyle w:val="TextBody"/>
        <w:bidi w:val="0"/>
        <w:spacing w:lineRule="auto" w:line="288" w:before="60" w:after="283"/>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Calculated based on CDC, 2022 National Summary and Clinic Data Sets, published in 2024</w:t>
      </w:r>
    </w:p>
    <w:p>
      <w:pPr>
        <w:pStyle w:val="TextBody"/>
        <w:bidi w:val="0"/>
        <w:spacing w:lineRule="auto" w:line="288" w:before="60" w:after="283"/>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Calculated based on the 12-month period ended December 31, 2023.</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Model</w:t>
      </w:r>
    </w:p>
    <w:p>
      <w:pPr>
        <w:pStyle w:val="TextBody"/>
        <w:bidi w:val="0"/>
        <w:spacing w:lineRule="auto" w:line="288" w:before="240" w:after="283"/>
        <w:ind w:left="0" w:right="0" w:firstLine="720"/>
        <w:jc w:val="both"/>
        <w:rPr/>
      </w:pPr>
      <w:r>
        <w:rPr>
          <w:rFonts w:ascii="Times New Roman;serif" w:hAnsi="Times New Roman;serif"/>
          <w:b/>
          <w:i/>
          <w:color w:val="000000"/>
          <w:sz w:val="20"/>
        </w:rPr>
        <w:t>Fertility Benefits Solution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fertility benefits solution includes providing members with access to effective 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preimplantation genetic testing, in the case of in vitro fertilization, or IVF).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pStyle w:val="TextBody"/>
        <w:bidi w:val="0"/>
        <w:spacing w:lineRule="auto" w:line="288" w:before="240" w:after="283"/>
        <w:ind w:left="0" w:right="0" w:firstLine="720"/>
        <w:jc w:val="both"/>
        <w:rPr/>
      </w:pPr>
      <w:r>
        <w:rPr>
          <w:rFonts w:ascii="Times New Roman;serif" w:hAnsi="Times New Roman;serif"/>
          <w:b/>
          <w:i/>
          <w:color w:val="000000"/>
          <w:sz w:val="20"/>
        </w:rPr>
        <w:t xml:space="preserve">Pharmacy Benefits Solution. </w:t>
      </w:r>
      <w:r>
        <w:rPr>
          <w:rFonts w:ascii="Times New Roman;serif" w:hAnsi="Times New Roman;serif"/>
          <w:b w:val="false"/>
          <w:color w:val="000000"/>
          <w:sz w:val="20"/>
        </w:rPr>
        <w:t>Progyny Rx can only be 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pPr>
      <w:r>
        <w:rPr>
          <w:rFonts w:ascii="Times New Roman;serif" w:hAnsi="Times New Roman;serif"/>
          <w:b/>
          <w:i/>
          <w:color w:val="000000"/>
          <w:sz w:val="20"/>
        </w:rPr>
        <w:t xml:space="preserve">Our Clients. </w:t>
      </w:r>
      <w:r>
        <w:rPr>
          <w:rFonts w:ascii="Times New Roman;serif" w:hAnsi="Times New Roman;serif"/>
          <w:b w:val="false"/>
          <w:color w:val="000000"/>
          <w:sz w:val="20"/>
        </w:rPr>
        <w:t>We currently serve over</w:t>
      </w:r>
      <w:r>
        <w:rPr>
          <w:color w:val="000000"/>
          <w:shd w:fill="FFFFFF" w:val="clear"/>
        </w:rPr>
        <w:t xml:space="preserve"> </w:t>
      </w:r>
      <w:r>
        <w:rPr>
          <w:rFonts w:ascii="Times New Roman;serif" w:hAnsi="Times New Roman;serif"/>
          <w:b w:val="false"/>
          <w:color w:val="000000"/>
          <w:sz w:val="20"/>
          <w:shd w:fill="FFFFFF" w:val="clear"/>
        </w:rPr>
        <w:t>600</w:t>
      </w:r>
      <w:r>
        <w:rPr>
          <w:color w:val="000000"/>
        </w:rPr>
        <w:t xml:space="preserve"> </w:t>
      </w:r>
      <w:r>
        <w:rPr>
          <w:rFonts w:ascii="Times New Roman;serif" w:hAnsi="Times New Roman;serif"/>
          <w:b w:val="false"/>
          <w:color w:val="000000"/>
          <w:sz w:val="20"/>
        </w:rPr>
        <w:t>employers with at least 1,000 covered lives in the United States across more than 40 industries, including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 Our current clients, who are industry leaders across both high-growth and mature industries and who range in size from approximately 1,000 to 300,000 employees, represent approximately 7.2 million covered lives.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clients primarily contract with us to provide our fertility benefits solution and, where added on by our clients, our Progyny Rx solution. Our revenue has both a utilization-based component and a population-based component,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Utilization Component. </w:t>
      </w:r>
      <w:r>
        <w:rPr>
          <w:rFonts w:ascii="Times New Roman;serif" w:hAnsi="Times New Roman;serif"/>
          <w:b w:val="false"/>
          <w:color w:val="000000"/>
          <w:sz w:val="20"/>
        </w:rPr>
        <w:t>Clients pay us for the fertility benefits and Progyny Rx solutions utilized by their 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Population-Based Component. </w:t>
      </w:r>
      <w:r>
        <w:rPr>
          <w:rFonts w:ascii="Times New Roman;serif" w:hAnsi="Times New Roman;serif"/>
          <w:b w:val="false"/>
          <w:color w:val="000000"/>
          <w:sz w:val="20"/>
        </w:rPr>
        <w:t>Clients who purchase our fertility benefits solution also typically pay us a per employee per month fee, or PEPM fee, which is population-based. This allows us to provide members with access to our PCAs for fertility and family building education and guidance and other digital tools to all of our members, regardless of whether they ultimately pursue fertility treatment. PEPM fees represented 1% of our total revenue for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20"/>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and Progyny Rx solutions. Given that the majority of our clients contract with us for a January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Similarly, for existing clients, any changes in plan designs are typically elected by the end of October so that clients can inform their employees of the benefits during the open enrollment period ahead of a January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plan year start.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expand our women's health and family building solutions to include pregnancy and postpartum, menopause and midlife, benefit and leave navigation, and parent and child wellbeing solutions. While these offerings represent strategic areas of investment, they were not a significant portion of our revenue for the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Operational and Business Metrics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consolidated financial statements, we use the following key operational and business metrics to evaluate our business, measure our performance, develop financial forecasts, and make strategic decisions.</w:t>
      </w:r>
    </w:p>
    <w:p>
      <w:pPr>
        <w:pStyle w:val="TextBody"/>
        <w:bidi w:val="0"/>
        <w:spacing w:lineRule="auto" w:line="288" w:before="240" w:after="283"/>
        <w:ind w:left="0" w:right="0" w:firstLine="720"/>
        <w:jc w:val="both"/>
        <w:rPr/>
      </w:pPr>
      <w:r>
        <w:rPr>
          <w:rFonts w:ascii="Times New Roman;serif" w:hAnsi="Times New Roman;serif"/>
          <w:b/>
          <w:i/>
          <w:color w:val="000000"/>
          <w:sz w:val="20"/>
        </w:rPr>
        <w:t>Member and Client Base.</w:t>
      </w:r>
      <w:r>
        <w:rPr>
          <w:color w:val="000000"/>
        </w:rPr>
        <w:t xml:space="preserve"> </w:t>
      </w:r>
      <w:r>
        <w:rPr>
          <w:rFonts w:ascii="Times New Roman;serif" w:hAnsi="Times New Roman;serif"/>
          <w:b w:val="false"/>
          <w:color w:val="000000"/>
          <w:sz w:val="20"/>
        </w:rPr>
        <w:t>Our addressable market is primarily large self-insured employers, as well as labor populations under the Labor Management Relations Act of 1947 (also known as the Taft-Hartley Act) and federal government populations. There are approximately 9,000 employers in the United States who have a minimum of 1,000 employees, who together with Taft-Hartley labor populations and federal government populations, represent approximately 106 million potential covered lives in total. Our current member base of approximately 7.2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w:t>
      </w:r>
      <w:r>
        <w:rPr>
          <w:color w:val="000000"/>
        </w:rPr>
        <w:t xml:space="preserve"> </w:t>
      </w:r>
      <w:r>
        <w:rPr>
          <w:rFonts w:ascii="Times New Roman;serif" w:hAnsi="Times New Roman;serif"/>
          <w:b w:val="false"/>
          <w:color w:val="000000"/>
          <w:sz w:val="20"/>
        </w:rPr>
        <w:t>covered lives. As of June 30, 2026 and December 31, 2025, we served 604 and 555 clients, representing 7,190,000 and 6,689,000 members,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pStyle w:val="TextBody"/>
        <w:bidi w:val="0"/>
        <w:spacing w:lineRule="auto" w:line="288" w:before="240" w:after="283"/>
        <w:ind w:left="0" w:right="0" w:firstLine="720"/>
        <w:jc w:val="both"/>
        <w:rPr/>
      </w:pPr>
      <w:r>
        <w:rPr>
          <w:rFonts w:ascii="Times New Roman;serif" w:hAnsi="Times New Roman;serif"/>
          <w:b/>
          <w:i/>
          <w:color w:val="000000"/>
          <w:sz w:val="20"/>
        </w:rPr>
        <w:t>Benefits Utilization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 key driver of our revenue is the number of members we serve and the rate at which they utilize their fertility benefits. As our client base has grown, our membership has grown from approximately 110,000 members in 2016 when we launched our fertility benefits solution to 7.2 million members</w:t>
      </w:r>
      <w:r>
        <w:rPr>
          <w:color w:val="000000"/>
        </w:rPr>
        <w:t xml:space="preserve"> </w:t>
      </w:r>
      <w:r>
        <w:rPr>
          <w:rFonts w:ascii="Times New Roman;serif" w:hAnsi="Times New Roman;serif"/>
          <w:b w:val="false"/>
          <w:color w:val="000000"/>
          <w:sz w:val="20"/>
        </w:rPr>
        <w:t>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highlights the number of assisted reproductive treatment, or ART, cycles performed for Progyny members and the member utilization rates for each of the periods presented: </w:t>
      </w:r>
    </w:p>
    <w:tbl>
      <w:tblPr>
        <w:tblW w:w="9232" w:type="dxa"/>
        <w:jc w:val="left"/>
        <w:tblInd w:w="0" w:type="dxa"/>
        <w:tblLayout w:type="fixed"/>
        <w:tblCellMar>
          <w:top w:w="28" w:type="dxa"/>
          <w:left w:w="28" w:type="dxa"/>
          <w:bottom w:w="28" w:type="dxa"/>
          <w:right w:w="28" w:type="dxa"/>
        </w:tblCellMar>
      </w:tblPr>
      <w:tblGrid>
        <w:gridCol w:w="1500"/>
        <w:gridCol w:w="1318"/>
        <w:gridCol w:w="1322"/>
        <w:gridCol w:w="355"/>
        <w:gridCol w:w="355"/>
        <w:gridCol w:w="221"/>
        <w:gridCol w:w="178"/>
        <w:gridCol w:w="178"/>
        <w:gridCol w:w="178"/>
        <w:gridCol w:w="355"/>
        <w:gridCol w:w="355"/>
        <w:gridCol w:w="221"/>
        <w:gridCol w:w="109"/>
        <w:gridCol w:w="109"/>
        <w:gridCol w:w="109"/>
        <w:gridCol w:w="308"/>
        <w:gridCol w:w="308"/>
        <w:gridCol w:w="315"/>
        <w:gridCol w:w="154"/>
        <w:gridCol w:w="154"/>
        <w:gridCol w:w="154"/>
        <w:gridCol w:w="293"/>
        <w:gridCol w:w="293"/>
        <w:gridCol w:w="390"/>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Assisted Reproductive Treatment (ART) Cycles</w:t>
            </w:r>
            <w:r>
              <w:rPr>
                <w:rFonts w:ascii="Times New Roman;serif" w:hAnsi="Times New Roman;serif"/>
                <w:b w:val="false"/>
                <w:color w:val="000000"/>
                <w:sz w:val="13"/>
              </w:rPr>
              <w:t>(1)</w:t>
            </w:r>
          </w:p>
        </w:tc>
        <w:tc>
          <w:tcPr>
            <w:tcW w:w="93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32,645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33,098</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Utilization - All Members</w:t>
            </w:r>
            <w:r>
              <w:rPr>
                <w:rFonts w:ascii="Times New Roman;serif" w:hAnsi="Times New Roman;serif"/>
                <w:b w:val="false"/>
                <w:color w:val="000000"/>
                <w:sz w:val="13"/>
              </w:rPr>
              <w:t>(2)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20"/>
              </w:rPr>
              <w:t>Utilization - Female Only</w:t>
            </w:r>
            <w:r>
              <w:rPr>
                <w:rFonts w:ascii="Times New Roman;serif" w:hAnsi="Times New Roman;serif"/>
                <w:b w:val="false"/>
                <w:color w:val="000000"/>
                <w:sz w:val="13"/>
              </w:rPr>
              <w:t>(2)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Average Members </w:t>
            </w:r>
            <w:r>
              <w:rPr>
                <w:rFonts w:ascii="Times New Roman;serif" w:hAnsi="Times New Roman;serif"/>
                <w:b w:val="false"/>
                <w:color w:val="000000"/>
                <w:sz w:val="13"/>
              </w:rPr>
              <w:t>(3)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7,185,000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7,176,000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6,723,000</w:t>
            </w:r>
          </w:p>
        </w:tc>
      </w:tr>
    </w:tbl>
    <w:p>
      <w:pPr>
        <w:pStyle w:val="TextBody"/>
        <w:bidi w:val="0"/>
        <w:spacing w:before="0" w:after="0"/>
        <w:jc w:val="left"/>
        <w:rPr/>
      </w:pPr>
      <w:r>
        <w:rPr/>
      </w:r>
    </w:p>
    <w:p>
      <w:pPr>
        <w:pStyle w:val="TextBody"/>
        <w:bidi w:val="0"/>
        <w:spacing w:lineRule="auto" w:line="288" w:before="60" w:after="283"/>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number of ART cycles performed, including IVF with a fresh embryo transfer, IVF freeze all cycles/embryo banking, frozen embryo transfers, and egg freezing. Includes ART cycles performed in the first half of 2025 under the extended transition of care agreement with the large client who did not renew its service agreement.</w:t>
      </w:r>
    </w:p>
    <w:p>
      <w:pPr>
        <w:pStyle w:val="TextBody"/>
        <w:bidi w:val="0"/>
        <w:spacing w:lineRule="auto" w:line="288" w:before="60" w:after="283"/>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 Utilization for 2025 excludes activity under the extended transition of care agreement that ended June 30, 2025 with the large client who did not renew its service agreement, as only members meeting certain criteria were eligible to use the benefit.</w:t>
      </w:r>
    </w:p>
    <w:p>
      <w:pPr>
        <w:pStyle w:val="TextBody"/>
        <w:bidi w:val="0"/>
        <w:spacing w:lineRule="auto" w:line="288" w:before="60" w:after="283"/>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that ended June 30, 2025 with the large client who did not renew its service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includes fertility benefits solution revenue, pharmacy benefits solution revenue and PEPM fees.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Fertility Benefits Solution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Pharmacy Benefits Solution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 Employee Per Month (PEPM) Fee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 of services has three primary components: (1) fertility benefits services; (2) pharmacy benefits services; and (3) vendor rebates.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Fertility Benefits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Pharmacy Benefits Services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Vendor Rebates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and general and administrative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as well as research and development activities. These expenses also include third-party consulting services, facilities costs, and bad debt expense. We anticipate that we will incur additional general and administrative expenses on an ongoing basis to support the growth of our business.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Interest and Other Income, Net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net includes interest income and expense as well as investment income and losses.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revenue for those periods:</w:t>
      </w:r>
    </w:p>
    <w:tbl>
      <w:tblPr>
        <w:tblW w:w="9510" w:type="dxa"/>
        <w:jc w:val="left"/>
        <w:tblInd w:w="0" w:type="dxa"/>
        <w:tblLayout w:type="fixed"/>
        <w:tblCellMar>
          <w:top w:w="28" w:type="dxa"/>
          <w:left w:w="28" w:type="dxa"/>
          <w:bottom w:w="28" w:type="dxa"/>
          <w:right w:w="28" w:type="dxa"/>
        </w:tblCellMar>
      </w:tblPr>
      <w:tblGrid>
        <w:gridCol w:w="1413"/>
        <w:gridCol w:w="1242"/>
        <w:gridCol w:w="12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154,768 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106,240 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75,382 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48,528 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41,137 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78,020 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53,614 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62,104 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57,946 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118,687 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115,736 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as follows:</w:t>
      </w:r>
    </w:p>
    <w:tbl>
      <w:tblPr>
        <w:tblW w:w="8640"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18,940 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32,383 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40,199 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64,895 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Results of Operations – Non-GAAP Financial Measure – Adjusted EBITDA" below for a reconciliation of Adjusted EBITDA to net income, the most directly comparable measure calculated in accordance with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025"/>
        <w:gridCol w:w="1773"/>
        <w:gridCol w:w="1778"/>
        <w:gridCol w:w="285"/>
        <w:gridCol w:w="286"/>
        <w:gridCol w:w="324"/>
        <w:gridCol w:w="130"/>
        <w:gridCol w:w="130"/>
        <w:gridCol w:w="130"/>
        <w:gridCol w:w="285"/>
        <w:gridCol w:w="286"/>
        <w:gridCol w:w="324"/>
        <w:gridCol w:w="109"/>
        <w:gridCol w:w="109"/>
        <w:gridCol w:w="109"/>
        <w:gridCol w:w="285"/>
        <w:gridCol w:w="286"/>
        <w:gridCol w:w="289"/>
        <w:gridCol w:w="115"/>
        <w:gridCol w:w="115"/>
        <w:gridCol w:w="115"/>
        <w:gridCol w:w="285"/>
        <w:gridCol w:w="286"/>
        <w:gridCol w:w="346"/>
      </w:tblGrid>
      <w:tr>
        <w:trPr/>
        <w:tc>
          <w:tcPr>
            <w:tcW w:w="202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 as a percentage of revenue:</w:t>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2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8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Note: percentages shown in the table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 – Adjusted EBITDA</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tbl>
      <w:tblPr>
        <w:tblW w:w="8400" w:type="dxa"/>
        <w:jc w:val="left"/>
        <w:tblInd w:w="0" w:type="dxa"/>
        <w:tblLayout w:type="fixed"/>
        <w:tblCellMar>
          <w:top w:w="28" w:type="dxa"/>
          <w:left w:w="28" w:type="dxa"/>
          <w:bottom w:w="28" w:type="dxa"/>
          <w:right w:w="28" w:type="dxa"/>
        </w:tblCellMar>
      </w:tblPr>
      <w:tblGrid>
        <w:gridCol w:w="1084"/>
        <w:gridCol w:w="950"/>
        <w:gridCol w:w="96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62,104 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57,946 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118,687 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115,736 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Three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4871" w:type="dxa"/>
        <w:jc w:val="left"/>
        <w:tblInd w:w="0" w:type="dxa"/>
        <w:tblLayout w:type="fixed"/>
        <w:tblCellMar>
          <w:top w:w="28" w:type="dxa"/>
          <w:left w:w="28" w:type="dxa"/>
          <w:bottom w:w="28" w:type="dxa"/>
          <w:right w:w="28" w:type="dxa"/>
        </w:tblCellMar>
      </w:tblPr>
      <w:tblGrid>
        <w:gridCol w:w="304"/>
        <w:gridCol w:w="268"/>
        <w:gridCol w:w="269"/>
        <w:gridCol w:w="465"/>
        <w:gridCol w:w="466"/>
        <w:gridCol w:w="185"/>
        <w:gridCol w:w="185"/>
        <w:gridCol w:w="185"/>
        <w:gridCol w:w="185"/>
        <w:gridCol w:w="465"/>
        <w:gridCol w:w="466"/>
        <w:gridCol w:w="185"/>
        <w:gridCol w:w="109"/>
        <w:gridCol w:w="109"/>
        <w:gridCol w:w="109"/>
        <w:gridCol w:w="186"/>
        <w:gridCol w:w="186"/>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increased by $17.6 million, or 5%, for the three months ended June 30, 2026 compared to the three months ended June 30, 2025. This increase is primarily due to a $16.3 million, or 8%, increase in revenue from our fertility benefits solution and a $1.4 million, or 1%, increase in revenue from our Progyny Rx solution. The increase in revenue from our fertility benefits solution and Progyny Rx solution was primarily due to the increase in the number of clients and covered lives, partially offset by the impact of the previously disclosed large client who did not renew its services for 2025 but provided an extended transition period over the first half of 2025 for members meeting certain criteria.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Services</w:t>
      </w:r>
    </w:p>
    <w:tbl>
      <w:tblPr>
        <w:tblW w:w="5424" w:type="dxa"/>
        <w:jc w:val="left"/>
        <w:tblInd w:w="0" w:type="dxa"/>
        <w:tblLayout w:type="fixed"/>
        <w:tblCellMar>
          <w:top w:w="28" w:type="dxa"/>
          <w:left w:w="28" w:type="dxa"/>
          <w:bottom w:w="28" w:type="dxa"/>
          <w:right w:w="28" w:type="dxa"/>
        </w:tblCellMar>
      </w:tblPr>
      <w:tblGrid>
        <w:gridCol w:w="504"/>
        <w:gridCol w:w="444"/>
        <w:gridCol w:w="446"/>
        <w:gridCol w:w="465"/>
        <w:gridCol w:w="466"/>
        <w:gridCol w:w="185"/>
        <w:gridCol w:w="185"/>
        <w:gridCol w:w="185"/>
        <w:gridCol w:w="185"/>
        <w:gridCol w:w="465"/>
        <w:gridCol w:w="466"/>
        <w:gridCol w:w="185"/>
        <w:gridCol w:w="109"/>
        <w:gridCol w:w="109"/>
        <w:gridCol w:w="109"/>
        <w:gridCol w:w="186"/>
        <w:gridCol w:w="186"/>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$253,901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increased by $7.3 million, or 3%, for the three months ended June 30, 2026 compared to the three months ended June 30, 2025. This increase was primarily due to an increase in the medical treatment and pharmacy prescription costs associated with fertility treatments delivered. The increase in cost of services was also due to an increase in other related costs of services, and was partially offset by a decrease in personnel-related costs and the impact of the previously disclosed large client who did not renew its services for 2025 but provided an extended transition period over the first half of 2025 for members meeting certain criteria. The decrease in personnel-related costs was due to a $3.4 million decrease in stock-based compensation expense, partially offset by higher costs attributable to incremental head count. </w:t>
      </w:r>
    </w:p>
    <w:p>
      <w:pPr>
        <w:pStyle w:val="TextBody"/>
        <w:bidi w:val="0"/>
        <w:spacing w:before="1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5187" w:type="dxa"/>
        <w:jc w:val="left"/>
        <w:tblInd w:w="0" w:type="dxa"/>
        <w:tblLayout w:type="fixed"/>
        <w:tblCellMar>
          <w:top w:w="28" w:type="dxa"/>
          <w:left w:w="28" w:type="dxa"/>
          <w:bottom w:w="28" w:type="dxa"/>
          <w:right w:w="28" w:type="dxa"/>
        </w:tblCellMar>
      </w:tblPr>
      <w:tblGrid>
        <w:gridCol w:w="430"/>
        <w:gridCol w:w="375"/>
        <w:gridCol w:w="380"/>
        <w:gridCol w:w="413"/>
        <w:gridCol w:w="413"/>
        <w:gridCol w:w="345"/>
        <w:gridCol w:w="139"/>
        <w:gridCol w:w="139"/>
        <w:gridCol w:w="139"/>
        <w:gridCol w:w="413"/>
        <w:gridCol w:w="413"/>
        <w:gridCol w:w="345"/>
        <w:gridCol w:w="109"/>
        <w:gridCol w:w="109"/>
        <w:gridCol w:w="109"/>
        <w:gridCol w:w="186"/>
        <w:gridCol w:w="186"/>
        <w:gridCol w:w="544"/>
      </w:tblGrid>
      <w:tr>
        <w:trPr/>
        <w:tc>
          <w:tcPr>
            <w:tcW w:w="4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$78,973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by $10.3 million, or 13%, for the three months ended June 30, 2026 compared to the three months ended June 30, 2025. </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margin increased 180 basis points for the three months ended June 30, 2026 compared to the three months ended June 30, 2025, primarily due to ongoing efficiencies realized in the delivery of our care management services as well as a decrease in stock-based compensation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tbl>
      <w:tblPr>
        <w:tblW w:w="5574" w:type="dxa"/>
        <w:jc w:val="left"/>
        <w:tblInd w:w="0" w:type="dxa"/>
        <w:tblLayout w:type="fixed"/>
        <w:tblCellMar>
          <w:top w:w="28" w:type="dxa"/>
          <w:left w:w="28" w:type="dxa"/>
          <w:bottom w:w="28" w:type="dxa"/>
          <w:right w:w="28" w:type="dxa"/>
        </w:tblCellMar>
      </w:tblPr>
      <w:tblGrid>
        <w:gridCol w:w="634"/>
        <w:gridCol w:w="558"/>
        <w:gridCol w:w="562"/>
        <w:gridCol w:w="413"/>
        <w:gridCol w:w="413"/>
        <w:gridCol w:w="185"/>
        <w:gridCol w:w="185"/>
        <w:gridCol w:w="185"/>
        <w:gridCol w:w="185"/>
        <w:gridCol w:w="413"/>
        <w:gridCol w:w="413"/>
        <w:gridCol w:w="185"/>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decreased by $0.3 million, or 2%, for the three months ended June 30, 2026 compared to the three months ended June 30, 2025. This decrease was primarily due to a $1.6 million decrease in personnel-related costs, partially offset by a $1.3 million increase in other related sales and marketing expenses. The decrease in personnel-related costs was due to a $2.6 million decrease in stock-based compensation expense, partially offset by higher costs attributable to incremental head count.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tbl>
      <w:tblPr>
        <w:tblW w:w="6133" w:type="dxa"/>
        <w:jc w:val="left"/>
        <w:tblInd w:w="0" w:type="dxa"/>
        <w:tblLayout w:type="fixed"/>
        <w:tblCellMar>
          <w:top w:w="28" w:type="dxa"/>
          <w:left w:w="28" w:type="dxa"/>
          <w:bottom w:w="28" w:type="dxa"/>
          <w:right w:w="28" w:type="dxa"/>
        </w:tblCellMar>
      </w:tblPr>
      <w:tblGrid>
        <w:gridCol w:w="837"/>
        <w:gridCol w:w="735"/>
        <w:gridCol w:w="737"/>
        <w:gridCol w:w="413"/>
        <w:gridCol w:w="413"/>
        <w:gridCol w:w="185"/>
        <w:gridCol w:w="185"/>
        <w:gridCol w:w="185"/>
        <w:gridCol w:w="185"/>
        <w:gridCol w:w="413"/>
        <w:gridCol w:w="413"/>
        <w:gridCol w:w="185"/>
        <w:gridCol w:w="109"/>
        <w:gridCol w:w="109"/>
        <w:gridCol w:w="109"/>
        <w:gridCol w:w="188"/>
        <w:gridCol w:w="188"/>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by $5.0 million, or 14%, for the three months ended June 30, 2026 compared to the three months ended June 30, 2025. This decrease was primarily due to a $5.1 million decrease in personnel-related costs and a $0.3 million decrease in other related general and administrative expenses, partially offset by a $0.4 million increase in bad debt expense. The decrease in personnel-related costs was due to a $5.9 million decrease in stock-based compensation expense, partially offset by higher costs attributable to incremental head count. The decrease in stock-based compensation expense was driven by the November 2021 retention equity grant which became fully vested in late 2025 and therefore is no longer contributing to the expense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tbl>
      <w:tblPr>
        <w:tblW w:w="6134" w:type="dxa"/>
        <w:jc w:val="left"/>
        <w:tblInd w:w="0" w:type="dxa"/>
        <w:tblLayout w:type="fixed"/>
        <w:tblCellMar>
          <w:top w:w="28" w:type="dxa"/>
          <w:left w:w="28" w:type="dxa"/>
          <w:bottom w:w="28" w:type="dxa"/>
          <w:right w:w="28" w:type="dxa"/>
        </w:tblCellMar>
      </w:tblPr>
      <w:tblGrid>
        <w:gridCol w:w="911"/>
        <w:gridCol w:w="803"/>
        <w:gridCol w:w="806"/>
        <w:gridCol w:w="360"/>
        <w:gridCol w:w="361"/>
        <w:gridCol w:w="185"/>
        <w:gridCol w:w="185"/>
        <w:gridCol w:w="185"/>
        <w:gridCol w:w="185"/>
        <w:gridCol w:w="360"/>
        <w:gridCol w:w="361"/>
        <w:gridCol w:w="185"/>
        <w:gridCol w:w="109"/>
        <w:gridCol w:w="109"/>
        <w:gridCol w:w="109"/>
        <w:gridCol w:w="188"/>
        <w:gridCol w:w="188"/>
        <w:gridCol w:w="54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decreased by $1.6 million, or 58% for the three months ended June 30, 2026 compared to the three months ended June 30, 2025. This decrease was primarily due to a decrease in interest income and an increase in interest expense.</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tbl>
      <w:tblPr>
        <w:tblW w:w="6039" w:type="dxa"/>
        <w:jc w:val="left"/>
        <w:tblInd w:w="0" w:type="dxa"/>
        <w:tblLayout w:type="fixed"/>
        <w:tblCellMar>
          <w:top w:w="28" w:type="dxa"/>
          <w:left w:w="28" w:type="dxa"/>
          <w:bottom w:w="28" w:type="dxa"/>
          <w:right w:w="28" w:type="dxa"/>
        </w:tblCellMar>
      </w:tblPr>
      <w:tblGrid>
        <w:gridCol w:w="841"/>
        <w:gridCol w:w="740"/>
        <w:gridCol w:w="743"/>
        <w:gridCol w:w="413"/>
        <w:gridCol w:w="413"/>
        <w:gridCol w:w="185"/>
        <w:gridCol w:w="185"/>
        <w:gridCol w:w="185"/>
        <w:gridCol w:w="185"/>
        <w:gridCol w:w="360"/>
        <w:gridCol w:w="361"/>
        <w:gridCol w:w="185"/>
        <w:gridCol w:w="109"/>
        <w:gridCol w:w="109"/>
        <w:gridCol w:w="109"/>
        <w:gridCol w:w="186"/>
        <w:gridCol w:w="186"/>
        <w:gridCol w:w="54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increased by $3.1 million, or 31%, for the three months ended June 30, 2026 compared to the three months ended June 30, 2025. This increase was primarily due to higher operating profit, partially offset by a decrease in tax deficiencies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Six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4871" w:type="dxa"/>
        <w:jc w:val="left"/>
        <w:tblInd w:w="0" w:type="dxa"/>
        <w:tblLayout w:type="fixed"/>
        <w:tblCellMar>
          <w:top w:w="28" w:type="dxa"/>
          <w:left w:w="28" w:type="dxa"/>
          <w:bottom w:w="28" w:type="dxa"/>
          <w:right w:w="28" w:type="dxa"/>
        </w:tblCellMar>
      </w:tblPr>
      <w:tblGrid>
        <w:gridCol w:w="304"/>
        <w:gridCol w:w="268"/>
        <w:gridCol w:w="269"/>
        <w:gridCol w:w="465"/>
        <w:gridCol w:w="466"/>
        <w:gridCol w:w="185"/>
        <w:gridCol w:w="185"/>
        <w:gridCol w:w="185"/>
        <w:gridCol w:w="185"/>
        <w:gridCol w:w="465"/>
        <w:gridCol w:w="466"/>
        <w:gridCol w:w="185"/>
        <w:gridCol w:w="109"/>
        <w:gridCol w:w="109"/>
        <w:gridCol w:w="109"/>
        <w:gridCol w:w="186"/>
        <w:gridCol w:w="186"/>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$679,015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increased by $22.1 million, or 3%, for the six months ended June 30, 2026 compared to the six months ended June 30, 2025. This increase is primarily due to a $19.3 million, or 5%, increase in revenue from our fertility benefits solution and a $2.8 million, or 1%, increase in revenue from our Progyny Rx solution. The increase in revenue from our fertility benefits solution and Progyny Rx solution was primarily due to the increase in the number of clients and covered lives, partially offset by the impact of the previously disclosed large client who did not renew its services for 2025 but provided an extended transition period over the first half of 2025 for members meeting certain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Services</w:t>
      </w:r>
    </w:p>
    <w:tbl>
      <w:tblPr>
        <w:tblW w:w="5424" w:type="dxa"/>
        <w:jc w:val="left"/>
        <w:tblInd w:w="0" w:type="dxa"/>
        <w:tblLayout w:type="fixed"/>
        <w:tblCellMar>
          <w:top w:w="28" w:type="dxa"/>
          <w:left w:w="28" w:type="dxa"/>
          <w:bottom w:w="28" w:type="dxa"/>
          <w:right w:w="28" w:type="dxa"/>
        </w:tblCellMar>
      </w:tblPr>
      <w:tblGrid>
        <w:gridCol w:w="504"/>
        <w:gridCol w:w="444"/>
        <w:gridCol w:w="446"/>
        <w:gridCol w:w="465"/>
        <w:gridCol w:w="466"/>
        <w:gridCol w:w="185"/>
        <w:gridCol w:w="185"/>
        <w:gridCol w:w="185"/>
        <w:gridCol w:w="185"/>
        <w:gridCol w:w="465"/>
        <w:gridCol w:w="466"/>
        <w:gridCol w:w="185"/>
        <w:gridCol w:w="109"/>
        <w:gridCol w:w="109"/>
        <w:gridCol w:w="109"/>
        <w:gridCol w:w="186"/>
        <w:gridCol w:w="186"/>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$506,643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increased by $4.5 million, or 1%, for the six months ended June 30, 2026 compared to the six months ended June 30, 2025. This increase was primarily due to an increase in the medical treatment and pharmacy prescription costs associated with fertility treatments delivered. The increase in cost of services was also due to an increase in other related costs of services, and was partially offset by a decrease in personnel-related costs and the impact of the previously disclosed large client who did not renew its services for 2025 but provided an extended transition period over the first half of 2025 for members meeting certain criteria. The decrease in personnel-related costs was due to a $6.5 million decrease in stock-based compensation expense, partially offset by higher costs attributable to incremental head count.</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5398" w:type="dxa"/>
        <w:jc w:val="left"/>
        <w:tblInd w:w="0" w:type="dxa"/>
        <w:tblLayout w:type="fixed"/>
        <w:tblCellMar>
          <w:top w:w="28" w:type="dxa"/>
          <w:left w:w="28" w:type="dxa"/>
          <w:bottom w:w="28" w:type="dxa"/>
          <w:right w:w="28" w:type="dxa"/>
        </w:tblCellMar>
      </w:tblPr>
      <w:tblGrid>
        <w:gridCol w:w="430"/>
        <w:gridCol w:w="375"/>
        <w:gridCol w:w="380"/>
        <w:gridCol w:w="465"/>
        <w:gridCol w:w="466"/>
        <w:gridCol w:w="347"/>
        <w:gridCol w:w="138"/>
        <w:gridCol w:w="138"/>
        <w:gridCol w:w="138"/>
        <w:gridCol w:w="465"/>
        <w:gridCol w:w="466"/>
        <w:gridCol w:w="347"/>
        <w:gridCol w:w="109"/>
        <w:gridCol w:w="109"/>
        <w:gridCol w:w="109"/>
        <w:gridCol w:w="186"/>
        <w:gridCol w:w="186"/>
        <w:gridCol w:w="544"/>
      </w:tblGrid>
      <w:tr>
        <w:trPr/>
        <w:tc>
          <w:tcPr>
            <w:tcW w:w="4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$172,372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$154,768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increased by $17.6 million, or 11%, for the six months ended June 30, 2026 compared to the six months ended June 30, 2025.</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margin increased 180 basis points for the six months ended June 30, 2026 compared to the six months ended June 30, 2025, primarily due to ongoing efficiencies realized in the delivery of our care management services as well as a decrease in stock-based compensation expense.</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w:t>
      </w:r>
    </w:p>
    <w:tbl>
      <w:tblPr>
        <w:tblW w:w="5574" w:type="dxa"/>
        <w:jc w:val="left"/>
        <w:tblInd w:w="0" w:type="dxa"/>
        <w:tblLayout w:type="fixed"/>
        <w:tblCellMar>
          <w:top w:w="28" w:type="dxa"/>
          <w:left w:w="28" w:type="dxa"/>
          <w:bottom w:w="28" w:type="dxa"/>
          <w:right w:w="28" w:type="dxa"/>
        </w:tblCellMar>
      </w:tblPr>
      <w:tblGrid>
        <w:gridCol w:w="634"/>
        <w:gridCol w:w="558"/>
        <w:gridCol w:w="562"/>
        <w:gridCol w:w="413"/>
        <w:gridCol w:w="413"/>
        <w:gridCol w:w="185"/>
        <w:gridCol w:w="185"/>
        <w:gridCol w:w="185"/>
        <w:gridCol w:w="185"/>
        <w:gridCol w:w="413"/>
        <w:gridCol w:w="413"/>
        <w:gridCol w:w="185"/>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decreased by $1.2 million, or 3%, for the six months ended June 30, 2026 compared to the six months ended June 30, 2025. This decrease was primarily due to a $2.9 million decrease in personnel-related costs, partially offset by a $1.7 million increase in other related sales and marketing expenses. The decrease in personnel-related costs was due to a $4.9 million decrease in stock-based compensation expense, partially offset by higher costs attributable to incremental head 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tbl>
      <w:tblPr>
        <w:tblW w:w="6133" w:type="dxa"/>
        <w:jc w:val="left"/>
        <w:tblInd w:w="0" w:type="dxa"/>
        <w:tblLayout w:type="fixed"/>
        <w:tblCellMar>
          <w:top w:w="28" w:type="dxa"/>
          <w:left w:w="28" w:type="dxa"/>
          <w:bottom w:w="28" w:type="dxa"/>
          <w:right w:w="28" w:type="dxa"/>
        </w:tblCellMar>
      </w:tblPr>
      <w:tblGrid>
        <w:gridCol w:w="837"/>
        <w:gridCol w:w="735"/>
        <w:gridCol w:w="737"/>
        <w:gridCol w:w="413"/>
        <w:gridCol w:w="413"/>
        <w:gridCol w:w="185"/>
        <w:gridCol w:w="185"/>
        <w:gridCol w:w="185"/>
        <w:gridCol w:w="185"/>
        <w:gridCol w:w="413"/>
        <w:gridCol w:w="413"/>
        <w:gridCol w:w="185"/>
        <w:gridCol w:w="109"/>
        <w:gridCol w:w="109"/>
        <w:gridCol w:w="109"/>
        <w:gridCol w:w="188"/>
        <w:gridCol w:w="188"/>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by $8.0 million, or 11%, for the six months ended June 30, 2026 compared to the six months ended June 30, 2025. This decrease was primarily due to a $9.8 million decrease in personnel-related costs and a $0.8 million decrease in bad debt expense, partially offset by a $2.6 million increase in other related general and administrative expenses. The decrease in personnel-related costs was due to a $13.2 million decrease in stock-based compensation expense, partially offset by higher costs attributable to incremental head count. The decrease in stock-based compensation expense was driven by the November 2021 retention equity grant which became fully vested in late 2025 and therefore is no longer contributing to the expense in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tbl>
      <w:tblPr>
        <w:tblW w:w="6134" w:type="dxa"/>
        <w:jc w:val="left"/>
        <w:tblInd w:w="0" w:type="dxa"/>
        <w:tblLayout w:type="fixed"/>
        <w:tblCellMar>
          <w:top w:w="28" w:type="dxa"/>
          <w:left w:w="28" w:type="dxa"/>
          <w:bottom w:w="28" w:type="dxa"/>
          <w:right w:w="28" w:type="dxa"/>
        </w:tblCellMar>
      </w:tblPr>
      <w:tblGrid>
        <w:gridCol w:w="911"/>
        <w:gridCol w:w="803"/>
        <w:gridCol w:w="806"/>
        <w:gridCol w:w="360"/>
        <w:gridCol w:w="361"/>
        <w:gridCol w:w="185"/>
        <w:gridCol w:w="185"/>
        <w:gridCol w:w="185"/>
        <w:gridCol w:w="185"/>
        <w:gridCol w:w="360"/>
        <w:gridCol w:w="361"/>
        <w:gridCol w:w="185"/>
        <w:gridCol w:w="109"/>
        <w:gridCol w:w="109"/>
        <w:gridCol w:w="109"/>
        <w:gridCol w:w="188"/>
        <w:gridCol w:w="188"/>
        <w:gridCol w:w="54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decreased by $2.4 million, or 48%, for the six months ended June 30, 2026 compared to the six months ended June 30, 2025. This decrease was primarily due to a decrease in interest income and an increase in interest expense.</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tbl>
      <w:tblPr>
        <w:tblW w:w="6144" w:type="dxa"/>
        <w:jc w:val="left"/>
        <w:tblInd w:w="0" w:type="dxa"/>
        <w:tblLayout w:type="fixed"/>
        <w:tblCellMar>
          <w:top w:w="28" w:type="dxa"/>
          <w:left w:w="28" w:type="dxa"/>
          <w:bottom w:w="28" w:type="dxa"/>
          <w:right w:w="28" w:type="dxa"/>
        </w:tblCellMar>
      </w:tblPr>
      <w:tblGrid>
        <w:gridCol w:w="841"/>
        <w:gridCol w:w="740"/>
        <w:gridCol w:w="743"/>
        <w:gridCol w:w="413"/>
        <w:gridCol w:w="413"/>
        <w:gridCol w:w="185"/>
        <w:gridCol w:w="185"/>
        <w:gridCol w:w="185"/>
        <w:gridCol w:w="185"/>
        <w:gridCol w:w="413"/>
        <w:gridCol w:w="413"/>
        <w:gridCol w:w="185"/>
        <w:gridCol w:w="109"/>
        <w:gridCol w:w="109"/>
        <w:gridCol w:w="109"/>
        <w:gridCol w:w="186"/>
        <w:gridCol w:w="186"/>
        <w:gridCol w:w="54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rPr>
        <w:t>Provision for income taxes increased</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$4.3 million, or 20%, for the six months ended June 30, 2026 compared to the six months ended June 30, 2025. This increase was primarily due to higher operating profit, partially offset by a decrease in tax deficiencies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As of June 30, 2026, we had $152.6 million of cash and cash equivalents and $84.3 million of marketable securities. We have financed our operations primarily through cash generated from the sales of our solutions.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serif" w:hAnsi="Times New Roman;serif"/>
          <w:b w:val="false"/>
          <w:color w:val="000000"/>
          <w:sz w:val="13"/>
        </w:rPr>
        <w:t>st</w:t>
      </w:r>
      <w:r>
        <w:rPr>
          <w:rFonts w:ascii="Times New Roman;serif" w:hAnsi="Times New Roman;serif"/>
          <w:b w:val="false"/>
          <w:color w:val="000000"/>
          <w:sz w:val="20"/>
        </w:rPr>
        <w:t xml:space="preserve">,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2025, we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a maximum aggregate amount of $200 million, subject to customary borrowing conditions, until its maturity on July 1, 2030. We are in compliance with all financial covenants under the Credit Agreement as of June 30, 2026. As of the date of this filing, no amounts were drawn under the Facility. Refer to Note 6 to the Consolidated Financial Statements included in this Quarterly Report on Form 10-Q for additional information. </w:t>
      </w:r>
    </w:p>
    <w:p>
      <w:pPr>
        <w:pStyle w:val="TextBody"/>
        <w:bidi w:val="0"/>
        <w:spacing w:lineRule="auto" w:line="26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including the proceeds from our marketable securities, cash flow from operations, and the availability of funds under the Facility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from operations for the periods presented:</w:t>
      </w:r>
    </w:p>
    <w:tbl>
      <w:tblPr>
        <w:tblW w:w="8889" w:type="dxa"/>
        <w:jc w:val="left"/>
        <w:tblInd w:w="0" w:type="dxa"/>
        <w:tblLayout w:type="fixed"/>
        <w:tblCellMar>
          <w:top w:w="28" w:type="dxa"/>
          <w:left w:w="28" w:type="dxa"/>
          <w:bottom w:w="28" w:type="dxa"/>
          <w:right w:w="28" w:type="dxa"/>
        </w:tblCellMar>
      </w:tblPr>
      <w:tblGrid>
        <w:gridCol w:w="2290"/>
        <w:gridCol w:w="2017"/>
        <w:gridCol w:w="2023"/>
        <w:gridCol w:w="211"/>
        <w:gridCol w:w="721"/>
        <w:gridCol w:w="109"/>
        <w:gridCol w:w="109"/>
        <w:gridCol w:w="109"/>
        <w:gridCol w:w="109"/>
        <w:gridCol w:w="211"/>
        <w:gridCol w:w="826"/>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40,410 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(24,772)</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$96.4 million for the six months ended June 30, 2026, primarily consisting of net income of $52.3 million adjusted for certain items, which includes $40.2 million of stock-based compensation expense, $10.2 million of bad debt expense, $3.1 million of depreciation and amortization, $0.6 million of net accretion of discounts on marketable securities, $0.6 million of loss on disposal of property and equipment, and $0.4 million of non-cash interest expense. Changes in operating assets and liabilities resulted in cash used in operating activities from increases in accounts receivable, net of $47.4 million and other noncurrent assets and liabilities of $3.2 million, partially offset by cash provided by operating activities from increases in accounts payable of $27.8 million and accrued expenses and other current liabilities of $8.0 million, and a decrease in prepaid expenses and other current assets of $3.8 million. These changes were a result of the impact of revenue growth and our operating results as well as the timing of cash collections and payments to third parties, including $19.0 million of cash paid for income taxes, net of refunds received for the period ended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$105.3 million for the six months ended June 30, 2025, primarily consisting of net income of $32.2 million adjusted for certain items, which includes $64.9 million of stock-based compensation expense, $11.0 million of bad debt expense, $2.3 million of depreciation and amortization, and $0.1 million of loss on disposal of property and equipment. Changes in operating assets and liabilities resulted in cash used in operating activities from increases in accounts receivable of $47.2 million, prepaid expenses and other current assets of $7.9 million, and other noncurrent assets and liabilities of $1.2 million, partially offset by cash provided by operating activities from increases in accounts payable of $45.2 million and accrued expenses and other current liabilities of $5.9 million. These changes were a result of the impact of revenue growth and our operating results as well as the timing of cash collections and payments to third parties, including $24.3 million of cash paid for income taxes, net of refunds received for the period ended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$100.1 million for the six months ended June 30, 2026, which primarily consisted of net proceeds from marketable securities of $112.7 million. The remainder of the activity consisted of purchases of computers, software, including capitalized software development costs, leasehold improvements, and furniture and fixtures.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Net cash used in investing activities was $124.5 million for the six months ended</w:t>
      </w:r>
      <w:r>
        <w:rPr>
          <w:color w:val="000000"/>
        </w:rPr>
        <w:t xml:space="preserve"> </w:t>
      </w:r>
      <w:r>
        <w:rPr>
          <w:rFonts w:ascii="Times New Roman;serif" w:hAnsi="Times New Roman;serif"/>
          <w:b w:val="false"/>
          <w:color w:val="000000"/>
          <w:sz w:val="20"/>
        </w:rPr>
        <w:t>June 30, 2025, which primarily consisted of net investments in marketable securities of $107.1 million and $9.3 million of cash used in a business acquisition, net of cash acquired. The remainder of the activity consisted of purchases of computers, software, including capitalized software development costs, leasehold improvements, and furniture and fixtures.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capital investments, including investments in technology and the development of software, to remain consistent with current levels for the remainder of the fiscal year as we continue to invest in our benefits offerings and growth strategy.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$156.0 million for the six months ended June 30, 2026, consisting of $148.6 million of cash paid for repurchases of common stock under the November 2025 and May 2026 share repurchase programs, inclusive of $0.2 million in trading fees, payment of $0.5 million excise tax from the repurchase of common stock, and $7.5 million for employee taxes related to equity awards, partially offset by $0.7 million in proceeds from contributions to our employee stock purchase plan.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$5.6 million for the six months ended June 30, 2025, consisting of payments of $6.2 million for employee taxes related to equity awards, partially offset by $0.6 million in proceeds from contributions to our employee stock purchase plan.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a share repurchase program of up to $200 million in shares of common stock (the “November 2025 share repurchase program”). In May 2026, our Board of Directors authorized an additional share repurchase program of up to $200 million in shares of common stock (the “May 2026 share repurchase program", together with the November share repurchase program, the ("share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Repurchases under the May 2026 share repurchase program may be made in the form of open market repurchases, including through plans complying with Rule 10b5-1 under the Exchange Act, depending on stock price, market conditions, and other factors, as determined by the management. There can be no assurance as to the total number of shares that will be repurchased.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repurchased a total of 6,700,337 shares of common stock under the share repurchase programs at an average price per share of $22.08 and a total cost of $148.1 million, inclusive of $0.2 million in trading fees. In addition, we recognized $1.3 million of excise taxes related to the share repurchases. As of June 30, 2026, $168.5 million remained available for purchases under the May 2026 share repurchase program.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November 2025 share repurchase program was completed in March 2026, and no amounts remained available for repurchase under the program. As of the date of this filing, we have repurchased a total of 2,052,571shares of common stock under the May 2026 share repurchase program for a total cost of $58.5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Lease 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April 2036, the expiration date. For the 21,262 square foot office, we will pay the base rent of approximately $1.3 million per year starting in April 2026 through the end of the fifth year and approximately $1.4 million per year thereafter through April 2036, the expiration date. For our current 25,212 square foot office, we will pay the base rent of approximately $1.6 million per year beginning in June 2029, which is the lease commencement date, through April 2036, the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about our significant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 full discussion of recently adopted accounting pronouncements, see "Financial Statements (Unaudited) — Note 2 – Significant Accounting Policies", to the consolidated financial statements included in Part I, Item 1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w:t>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 xml:space="preserve">Interest Rate Risk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rate risk is highly sensitive due to many factors, including U.S. monetary and tax policies, U.S. and international economic factors and other factors beyond our control.</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had cash and cash equivalents of $152.6 million and marketable securities of $84.3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 change in interest rates would not result in a material impact on our consolidated financial statements.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Inflation Rate Risk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that term is defined in Rules 13a-15(f) and 15d-15(f) under the Exchange Act) that occurred during the quarter ended June 30, 2026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Part I, Item 1 “Financial Statements (Unaudited) — Note 7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and future results of operations, which would cause our stock price to decline.</w:t>
      </w:r>
    </w:p>
    <w:p>
      <w:pPr>
        <w:pStyle w:val="TextBody"/>
        <w:bidi w:val="0"/>
        <w:spacing w:lineRule="auto" w:line="276" w:before="240" w:after="240"/>
        <w:ind w:left="0" w:right="0" w:firstLine="720"/>
        <w:jc w:val="both"/>
        <w:rPr/>
      </w:pPr>
      <w:r>
        <w:rPr>
          <w:rFonts w:ascii="Times New Roman;serif" w:hAnsi="Times New Roman;serif"/>
          <w:b w:val="false"/>
          <w:color w:val="000000"/>
          <w:sz w:val="20"/>
        </w:rPr>
        <w:t xml:space="preserve">We have provided, and may continue to provide, guidance about our business and future results of operations. On August 6, 2026, we issued guidance for the third quarter of </w:t>
      </w:r>
      <w:r>
        <w:rPr>
          <w:rFonts w:ascii="Times New Roman;serif" w:hAnsi="Times New Roman;serif"/>
          <w:b w:val="false"/>
          <w:color w:val="000000"/>
          <w:sz w:val="20"/>
          <w:shd w:fill="FFFFFF" w:val="clear"/>
        </w:rPr>
        <w:t>2026 and full year 2026.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market in which we operate is highly competitive, and, if we do not continue to compete effectively, our business, financial condition and results of operations could be harmed.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As we market our solutions to potential clients that currently utilize other fertility benefits vendors, we may fail to convince their internal stakeholders that our offerings and our model are superior to their current solutions. </w:t>
      </w:r>
      <w:r>
        <w:rPr>
          <w:rFonts w:ascii="Times New Roman;serif" w:hAnsi="Times New Roman;serif"/>
          <w:b w:val="false"/>
          <w:color w:val="000000"/>
          <w:sz w:val="20"/>
          <w:shd w:fill="FFFFFF" w:val="clear"/>
        </w:rPr>
        <w:t xml:space="preserve">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As the market in which we operate matures and more competitors enter the market and introduce differentiated solutions or services that compete with our solutions, </w:t>
      </w:r>
      <w:r>
        <w:rPr>
          <w:rFonts w:ascii="Times New Roman;serif" w:hAnsi="Times New Roman;serif"/>
          <w:b w:val="false"/>
          <w:color w:val="000000"/>
          <w:sz w:val="20"/>
        </w:rPr>
        <w:t xml:space="preserve">our success depends on our ability to: compete effectively in our market, </w:t>
      </w:r>
      <w:r>
        <w:rPr>
          <w:rFonts w:ascii="Times New Roman;serif" w:hAnsi="Times New Roman;serif"/>
          <w:b w:val="false"/>
          <w:color w:val="000000"/>
          <w:sz w:val="20"/>
          <w:shd w:fill="FFFFFF" w:val="clear"/>
        </w:rPr>
        <w:t xml:space="preserve">identify and effectively respond to changes in market dynamics and client and member preferences, </w:t>
      </w:r>
      <w:r>
        <w:rPr>
          <w:rFonts w:ascii="Times New Roman;serif" w:hAnsi="Times New Roman;serif"/>
          <w:b w:val="false"/>
          <w:color w:val="000000"/>
          <w:sz w:val="20"/>
        </w:rPr>
        <w:t>maintain or increase our market share, and differentiate our offerings by innovating and delivering products and services that provide enhanced value to our clients and members</w:t>
      </w:r>
      <w:r>
        <w:rPr>
          <w:rFonts w:ascii="Times New Roman;serif" w:hAnsi="Times New Roman;serif"/>
          <w:b w:val="false"/>
          <w:color w:val="000000"/>
          <w:sz w:val="20"/>
          <w:shd w:fill="FFFFFF" w:val="clear"/>
        </w:rPr>
        <w:t>.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Unfavorable conditions in the global economy or our industry could limit our ability to grow our business and negatively affect our results of operations.</w:t>
      </w:r>
    </w:p>
    <w:p>
      <w:pPr>
        <w:pStyle w:val="TextBody"/>
        <w:bidi w:val="0"/>
        <w:spacing w:lineRule="auto" w:line="268" w:before="240" w:after="283"/>
        <w:ind w:left="0" w:right="0" w:firstLine="720"/>
        <w:jc w:val="both"/>
        <w:rPr/>
      </w:pPr>
      <w:r>
        <w:rPr>
          <w:rFonts w:ascii="Times New Roman;serif" w:hAnsi="Times New Roman;serif"/>
          <w:b w:val="false"/>
          <w:color w:val="000000"/>
          <w:sz w:val="20"/>
          <w:shd w:fill="FFFFFF" w:val="clear"/>
        </w:rPr>
        <w:t xml:space="preserve">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w:t>
      </w:r>
      <w:r>
        <w:rPr>
          <w:rFonts w:ascii="Times New Roman;serif" w:hAnsi="Times New Roman;serif"/>
          <w:b w:val="false"/>
          <w:color w:val="000000"/>
          <w:sz w:val="20"/>
        </w:rPr>
        <w:t xml:space="preserve">tariffs, export controls and other trade barriers, global trade wars or domestic preferences, </w:t>
      </w:r>
      <w:r>
        <w:rPr>
          <w:rFonts w:ascii="Times New Roman;serif" w:hAnsi="Times New Roman;serif"/>
          <w:b w:val="false"/>
          <w:color w:val="000000"/>
          <w:sz w:val="20"/>
          <w:shd w:fill="FFFFFF" w:val="clear"/>
        </w:rPr>
        <w:t>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w:t>
      </w:r>
      <w:r>
        <w:rPr>
          <w:rFonts w:ascii="Times New Roman;serif" w:hAnsi="Times New Roman;serif"/>
          <w:b w:val="false"/>
          <w:color w:val="000000"/>
          <w:sz w:val="20"/>
        </w:rPr>
        <w:t>Many economists believe the global economy will likely experience a recessionary environment in the near future.</w:t>
      </w:r>
      <w:r>
        <w:rPr>
          <w:color w:val="000000"/>
          <w:shd w:fill="FFFFFF" w:val="clear"/>
        </w:rPr>
        <w:t xml:space="preserve"> </w:t>
      </w:r>
      <w:r>
        <w:rPr>
          <w:rFonts w:ascii="Times New Roman;serif" w:hAnsi="Times New Roman;serif"/>
          <w:b w:val="false"/>
          <w:color w:val="000000"/>
          <w:sz w:val="20"/>
        </w:rPr>
        <w:t>The Federal Reserve’s efforts to tame inflation have led to, and may continue to lead to, increased interest rates. A significant escalation or expansion of economic disruption could have a material adverse effect on our results of operations.</w:t>
      </w:r>
      <w:r>
        <w:rPr>
          <w:color w:val="000000"/>
          <w:shd w:fill="FFFFFF" w:val="clear"/>
        </w:rPr>
        <w:t xml:space="preserve"> </w:t>
      </w:r>
      <w:r>
        <w:rPr>
          <w:rFonts w:ascii="Times New Roman;serif" w:hAnsi="Times New Roman;serif"/>
          <w:b w:val="false"/>
          <w:color w:val="000000"/>
          <w:sz w:val="20"/>
          <w:shd w:fill="FFFFFF" w:val="clear"/>
        </w:rPr>
        <w:t>We cannot predict the timing, strength, or duration of any economic slowdown, instability, or recovery, generally or within any particular industry, nor its impact on us or our clients.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global economy has also been impacted by geopolitical tensions. There is currently significant uncertainty about future trade relationships between the United States and various other countries. Further escalation of specific trade tensions, or more broadly in global trade conflicts, could materially and adversely affect the Company’s business and operations. The U.S. government and other governments may impose tariffs on certain pharmaceutical drugs and their components that may impact pharmaceutical imports into the United States, and we, our customers, suppliers, and our pharmacy program partners may then become subject to additional tariffs and adverse business impacts. If we are not successful in mitigating the impact of tariffs, trade barriers, and other geopolitical disruptions, our business, financial condition and results of operations may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depends on our ability to retain our existing clients and increase the adoption of our services within our client base. Any failure to do so would harm our business, financial condition and 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93% of our current clients have now launched this solution, including approximately 97% of the clients we signed in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may affect our ability to retain our existing clients and sell additional solutions to them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price, timeliness and outcomes of our solutions;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price, timeliness, outcomes, performance and functionality of competing solutions;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maintain and appropriately expand our Center of Excellence network of high-quality fertility specialists;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ability to continue to offer complementary solutions and services that will enhance our comprehensive fertility and family building offering;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healthcare laws and regulations, the enforcement of such laws and regulations, or healthcare trends;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global economic conditions, including any material increase in unemployment rates, and the business environment of our clients and, in particular, slowing growth or reduction in our clients’ headcount or spending on employee benefits;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consolidation of our clients, resulting in a change to their benefits program or a shift to one of our competitors.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 above factors, alone or together, could negatively affect our ability to retain existing clients and sell additional solutions to them, which would have an adverse effect on our business, revenue growth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largest clients account for a significant portion of our revenue. In addition, a significant number of our clients are in the technology industry, and we generate a significant portion of our revenue from these clients. The loss of one or more of these clients, changes to pricing terms with these clients or changes within the technology industry could negatively impact our business, financial condition and results of operations. </w:t>
      </w:r>
    </w:p>
    <w:p>
      <w:pPr>
        <w:pStyle w:val="TextBody"/>
        <w:bidi w:val="0"/>
        <w:spacing w:lineRule="auto" w:line="276"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currently have contracts to serve over 600 employers with at least 1,000 covered lives in the United States across more than 40 industries. Our largest clients account for a significant portion of our revenue. In addition, a significant number of our clients are in the technology industry, and we generate a significant portion of our revenue from these clients. For the six months ended June 30, 2026 and June 30, 2025, no client accounted for more than 10% of our total revenue. Engagement with our clients is generally covered through contracts that are multi-year in duration. Our clients may terminate early, decline to renew their existing contracts with us upon expiration, or renegotiate pricing terms at the time of renewal, any of which could have a negative impact on our business, financial condition and results of operations. In addition, changes in the technology industry, including reductions in workforce or heightened employee attrition, changes in economic conditions, mergers or consolidations, reduced spending on benefits programs and other factors, could adversely affect our business, financial condition and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attract new clients, our business, financial condition and results of operations would be adversely affected.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 significant change in the utilization of our solutions, including the consumption rate or the mix of utilization, could have an adverse effect on our business, financial condition and results of operations.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w:t>
      </w:r>
      <w:r>
        <w:rPr>
          <w:rFonts w:ascii="Times New Roman;serif" w:hAnsi="Times New Roman;serif"/>
          <w:b w:val="false"/>
          <w:color w:val="000000"/>
          <w:sz w:val="20"/>
        </w:rPr>
        <w:t>failure to adapt and respond effectively to changes in the medical landscape, laws, regulations and government enforcement priorities, or client and member needs, requirements or preferences; premium increases and benefits changes; or negative publicity.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the rate of consumption by their employees, our clients may turn to alternative solutions, and our business and profitability would be adversely impacted.</w:t>
      </w:r>
      <w:r>
        <w:rPr>
          <w:color w:val="000000"/>
        </w:rPr>
        <w:t xml:space="preserve"> </w:t>
      </w:r>
      <w:r>
        <w:rPr>
          <w:rFonts w:ascii="Times New Roman;serif" w:hAnsi="Times New Roman;serif"/>
          <w:b w:val="false"/>
          <w:color w:val="000000"/>
          <w:sz w:val="20"/>
          <w:shd w:fill="FFFFFF" w:val="clear"/>
        </w:rPr>
        <w:t>In addition, higher clinical success rates and other factors could also impact timing and treatment paths, which may result in lower revenue per utilizing member.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Acquisitions, strategic investments, or partnerships could be difficult to identify, pose integration challenges, divert the attention of management, disrupt our business, dilute stockholder value, and adversely affect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provider, in June 2024 and Benefit Bump LLC, a company that provides a comprehensive parental leave benefits navigation program for new and growing families, in January 2025. We have also expanded our offerings to include pregnancy and postpartum, menopause and midlife care, benefit and leave navigation and parent and child wellbeing solutions. </w:t>
      </w:r>
      <w:r>
        <w:rPr>
          <w:rFonts w:ascii="Times New Roman;serif" w:hAnsi="Times New Roman;serif"/>
          <w:b w:val="false"/>
          <w:color w:val="000000"/>
          <w:sz w:val="20"/>
        </w:rPr>
        <w:t xml:space="preserve">We expect to make additional investments as we continue to introduce new solutions and services that complement our comprehensive family building offering and as we continue to enhance our technology infrastructure, including systems architecture, scalability, availability, performance and security. </w:t>
      </w:r>
      <w:r>
        <w:rPr>
          <w:rFonts w:ascii="Times New Roman;serif" w:hAnsi="Times New Roman;serif"/>
          <w:b w:val="false"/>
          <w:color w:val="000000"/>
          <w:sz w:val="20"/>
          <w:shd w:fill="FFFFFF" w:val="clear"/>
        </w:rPr>
        <w:t>Any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a limited operating history with our current platform of solutions, which makes it difficult to predict our future results of operations.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We went live with our fertility benefits solution in 2016, Progyny Rx in 2018 and more recently with our newer solutions.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and women's health benefits in general, change in utilization trends by our members, general economic slowdown, an increase in unemployment rates, increased competition, changes in healthcare trends and regulations, </w:t>
      </w:r>
      <w:r>
        <w:rPr>
          <w:rFonts w:ascii="Times New Roman;serif" w:hAnsi="Times New Roman;serif"/>
          <w:b w:val="false"/>
          <w:color w:val="000000"/>
          <w:sz w:val="20"/>
        </w:rPr>
        <w:t>changes to science relating to the fertility market</w:t>
      </w:r>
      <w:r>
        <w:rPr>
          <w:rFonts w:ascii="Times New Roman;serif" w:hAnsi="Times New Roman;serif"/>
          <w:b w:val="false"/>
          <w:color w:val="000000"/>
          <w:sz w:val="20"/>
          <w:shd w:fill="FFFFFF" w:val="clear"/>
        </w:rPr>
        <w: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a history of operating losses and may not sustain profitability in the future.</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women's health and family building offerings and as we continue to invest in enhancing</w:t>
      </w:r>
      <w:r>
        <w:rPr>
          <w:color w:val="000000"/>
        </w:rPr>
        <w:t xml:space="preserve"> </w:t>
      </w:r>
      <w:r>
        <w:rPr>
          <w:rFonts w:ascii="Times New Roman;serif" w:hAnsi="Times New Roman;serif"/>
          <w:b w:val="false"/>
          <w:color w:val="000000"/>
          <w:sz w:val="20"/>
        </w:rPr>
        <w:t>our technology infrastructure, including systems architecture, scalability, availability, performance and security</w:t>
      </w:r>
      <w:r>
        <w:rPr>
          <w:rFonts w:ascii="Times New Roman;serif" w:hAnsi="Times New Roman;serif"/>
          <w:b w:val="false"/>
          <w:color w:val="000000"/>
          <w:sz w:val="20"/>
          <w:shd w:fill="FFFFFF" w:val="clear"/>
        </w:rPr>
        <w:t>.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health benefits industry may be subject to negative publicity, which could adversely affect our business, financial condition and results of operations.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health benefits industry may be subject to negative publicity, which can arise from, among other things, increases in premium rates, industry consolidation, cost of care initiatives, and drug prices. In addition, negative publicity may result in increased regulation and legislative review of industry practices, which may further increase our costs of doing business and adversely affect our profitability. For example, PBM reform, increased disclosure requirements or additional review of benefit administrators by the Department of Health and Human Services' Office of Inspector General, or OIG,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In the current environment, there are numerous and evolving risks to cybersecurity and data privacy, including criminal hackers, hacktivists, denial-of-service attacks, ransomware, state-sponsored intrusions, industrial espionage, employee malfeasance and human or technological errors. High-profile cybersecurity breaches at other companies and government agencies have increased in recent years, and there remains the possibility of targeted cyberattacks by foreign countries or entities that could impact United States government and private companies’ technological infrastructures, some of which we utilize to provide our services. The healthcare industry has experienced a shift towards an increased use of and reliance on digital and technological platforms. As a result of this shift, there have been, and may continue to be, more targeted cyberattacks and threats directed at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or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w:t>
      </w:r>
      <w:r>
        <w:rPr>
          <w:color w:val="000000"/>
        </w:rPr>
        <w:t xml:space="preserve"> </w:t>
      </w:r>
      <w:r>
        <w:rPr>
          <w:rFonts w:ascii="Times New Roman;serif" w:hAnsi="Times New Roman;serif"/>
          <w:b w:val="false"/>
          <w:color w:val="000000"/>
          <w:sz w:val="20"/>
        </w:rPr>
        <w:t xml:space="preserve">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our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use of artificial intelligence may subject us to new or heightened legal, regulatory, ethical, operational or other challenges.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and may in the future continue to use, artificial intelligence (“AI”), including generative AI, in connection with our business and operations, including for internal operational and productivity improvement business purposes. There are significant risks involved in utilizing AI, the development and use of which is still in its early stages, and no assurance can be provided that such use will enhance our business or operations or result in our business or operations being more efficient or profitable. AI models and algorithms, and the data, prompts and other material or content on which it relies, as well as the output thereof,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reputational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The use of AI solutions by companies has also resulted in, and may in the future result in, failures, interruptions and security breaches of their information technology systems and data privacy violations that implicate the personal data or confidential information of users of such AI solutions. If any of our employees, contractors, vendors or service providers use any third-party AI solutions in connection with the services they provide to us, it may lead to the inadvertent disclosure of our confidential information, including personal information of our clients and members, which may impact our ability to secure such information, or adequately protect and enforce our intellectual property rights, harming our competitive position and business. Further, any content created by us using generative AI may not be subject to copyright protection which may adversely affect our intellectual property rights in, or ability to commercialize or use, any such content.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Regulation of AI is rapidly evolving worldwide and may change the competitive landscape of our and many other industries. AI is also an area of increased focus for legislators and regulators as this emerging technology develops. The technologies underlying AI and its uses are already subject to a variety of laws and regulations, including intellectual property, data privacy and security, consumer protection, competition, and equal opportunity laws and regulations, and are expected to be subject to increased regulation and new laws or new applications of existing laws and regulations. It is possible that we will not be able to anticipate how to respond to these rapidly evolving frameworks, and we could be required to expend resources to adjust our offerings in certain jurisdictions if the legal frameworks are inconsistent across jurisdictions. If we do not have sufficient rights to use the models, algorithms, data, prompts or other material or content on which our AI solutions rely, or the output thereof, we could also incur liability through the violation of applicable laws and regulations, third-party intellectual property, privacy or other rights, or contracts to which we are a party. Furthermore, because AI technology itself is highly complex, costly, and rapidly developing, it is not possible to predict all of the legal, operational or technological risks that may arise relating to the use of AI.</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If we fail to offer high-quality support, our reputation could suffer.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Failure to effectively develop and expand our marketing and sales capabilities could harm our ability to increase our client base and achieve broader market acceptance of the solutions we provide.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future revenue and client base may not grow at the rates they historically have, or at all.</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continue to attract new clients and maintain existing clients;</w:t>
      </w:r>
    </w:p>
    <w:p>
      <w:pPr>
        <w:pStyle w:val="TextBody"/>
        <w:bidi w:val="0"/>
        <w:spacing w:before="0" w:after="0"/>
        <w:jc w:val="both"/>
        <w:rPr/>
      </w:pPr>
      <w:r>
        <w:rPr/>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0"/>
        </w:rPr>
        <w:t>price our solutions and services effectively so that we are able to attract new clients, expand sales to our existing clients and maintain profitability;</w:t>
      </w:r>
    </w:p>
    <w:p>
      <w:pPr>
        <w:pStyle w:val="TextBody"/>
        <w:bidi w:val="0"/>
        <w:spacing w:before="0" w:after="0"/>
        <w:jc w:val="left"/>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provide our clients and members with client support that meets their needs, including through dedicated PCAs;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maintain successful collection of member cost shares and other applicable receivable balances directly from members;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retain and maintain relationships with high-quality and respected fertility specialists;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attract and retain highly qualified personnel to support all clients and members;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maintain satisfactory relationships with insurance carriers;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increase awareness of our brand and successfully compete with other companies.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expect to continue to expend substantial financial and other resources on:</w:t>
      </w:r>
    </w:p>
    <w:p>
      <w:pPr>
        <w:pStyle w:val="TextBody"/>
        <w:bidi w:val="0"/>
        <w:spacing w:before="0" w:after="0"/>
        <w:ind w:left="0" w:right="0" w:firstLine="720"/>
        <w:jc w:val="left"/>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sales and marketing;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our technology infrastructure, including systems architecture, scalability, availability, performance and security;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general administration, including increased legal and accounting expenses associated with being a public company.</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revenue growth does not meet our expectations in future periods, we may not maintain profitability in the future, and our business, financial position and results of operations may be harmed.</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If the estimates and assumptions we use to determine the size of the target markets for our services are inaccurate, our future growth rate may be impacted, and our business would be harmed.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pPr>
      <w:r>
        <w:rPr>
          <w:rFonts w:ascii="Times New Roman;serif" w:hAnsi="Times New Roman;serif"/>
          <w:b/>
          <w:i/>
          <w:color w:val="000000"/>
          <w:sz w:val="20"/>
        </w:rPr>
        <w:t>We may not be able to successfully manage our growth, and if we are not able to grow efficiently, our business, financial condition and results of operations could be harmed</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business experiences seasonality, which may cause fluctuations in our revenue and results of operations.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experiences moderate seasonality in revenue with a slightly higher proportion of revenue during the second half of the year as compared to the first half. Given that the majority of our clients contract with us for a January 1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If our new solutions and services are not adopted by our clients or members, or if we fail to innovate and develop new offerings that are adopted by our clients, our revenue and results of operations may be adversely affected.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If we fail to adapt and respond effectively to the changing medical landscape, changing laws, regulations or government actions or enforcement priorities, or changing client needs, requirements or preferences, our offerings may become less competitive.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in which we compete is subject to a changing medical landscape and changing laws, regulations and government actions and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If we fail to maintain and enhance our brand, our ability to expand our client base will be impaired, and our business, financial condition and results of operations may suffer.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retain members of our management team or other key employees or fail to attract additional qualified personnel, our business and future growth may be negatively impacted.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Any litigation against us could be costly and time-consuming to defend and could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w:t>
      </w:r>
      <w:r>
        <w:rPr>
          <w:color w:val="000000"/>
        </w:rPr>
        <w:t xml:space="preserve"> </w:t>
      </w:r>
      <w:r>
        <w:rPr>
          <w:rFonts w:ascii="Times New Roman;serif" w:hAnsi="Times New Roman;serif"/>
          <w:b w:val="false"/>
          <w:color w:val="000000"/>
          <w:sz w:val="20"/>
        </w:rPr>
        <w:t xml:space="preserve">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 </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erif" w:hAnsi="Times New Roman;serif"/>
          <w:b/>
          <w:i/>
          <w:color w:val="000000"/>
          <w:sz w:val="20"/>
        </w:rPr>
        <w:t>We are exposed to credit risk from our members.</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business with government entities is subject to a number of challenges and risks.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Failure to enforce our intellectual property rights could impair our ability to protect our proprietary technology and our brand.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shd w:fill="FFFFFF" w:val="clear"/>
        </w:rPr>
        <w:t>Our success depends in part on our ability to protect our brand, trade secrets and confidential information</w:t>
      </w:r>
      <w:r>
        <w:rPr>
          <w:rFonts w:ascii="Times New Roman;serif" w:hAnsi="Times New Roman;serif"/>
          <w:b w:val="false"/>
          <w:color w:val="000000"/>
          <w:sz w:val="20"/>
        </w:rPr>
        <w:t xml:space="preserve">, including unpatented know-how, technology and other proprietary information, and maintaining, defending and enforcing our intellectual property rights. </w:t>
      </w:r>
      <w:r>
        <w:rPr>
          <w:rFonts w:ascii="Times New Roman;serif" w:hAnsi="Times New Roman;serif"/>
          <w:b w:val="false"/>
          <w:color w:val="000000"/>
          <w:sz w:val="20"/>
          <w:shd w:fill="FFFFFF" w:val="clear"/>
        </w:rPr>
        <w:t xml:space="preserve">We rely on our agreements with our clients, non-disclosure and confidentiality agreements with employees and third parties, and our trademarks, trade secrets, and copyrights to protect our intellectual property rights. </w:t>
      </w:r>
      <w:r>
        <w:rPr>
          <w:rFonts w:ascii="Times New Roman;serif" w:hAnsi="Times New Roman;serif"/>
          <w:b w:val="false"/>
          <w:color w:val="000000"/>
          <w:sz w:val="20"/>
        </w:rPr>
        <w:t xml:space="preserve">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our trade secrets were to be lawfully obtained or independently developed by a competitor or other third party, we would have no right to prevent them from using that technology or information to compete with us, and our competitive position would be harmed.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although we take measures to ensure that our employees do not use the confidential or proprietary information or know-how of others in their work for us, we may be subject to claims that we or our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t>
      </w:r>
      <w:r>
        <w:rPr>
          <w:rFonts w:ascii="Times New Roman;serif" w:hAnsi="Times New Roman;serif"/>
          <w:b w:val="false"/>
          <w:color w:val="000000"/>
          <w:sz w:val="20"/>
          <w:shd w:fill="FFFFFF" w:val="clear"/>
        </w:rPr>
        <w:t>which we need to continue to build name recognition with potential partners or clients in our markets of interest.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not be able to utilize a portion of our net operating loss carryforwards, which could adversely affect our profitability.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Changes in our effective tax rate or tax liabilities may have an adverse effect on our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tax rate could be impacted due to several factors, including, but not limited to:</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the relative amounts of income before taxes in the various jurisdictions in which we operate that have differing statutory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tax laws, tax treaties, or regulations or the interpretation of them (such as the</w:t>
      </w:r>
      <w:r>
        <w:rPr>
          <w:color w:val="000000"/>
        </w:rPr>
        <w:t xml:space="preserve"> </w:t>
      </w:r>
      <w:r>
        <w:rPr>
          <w:rFonts w:ascii="Times New Roman;serif" w:hAnsi="Times New Roman;serif"/>
          <w:b w:val="false"/>
          <w:color w:val="000000"/>
          <w:sz w:val="20"/>
        </w:rPr>
        <w:t>One Big Beautiful Bill Act, which, among other changes, makes permanent the immediate expensing of certain domestic research and development costs and 100% bonus depreciation for eligible property);</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the outcome of future tax audits, examinations, or administrative appeals;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limitations or adverse findings regarding our ability to do business in some jurisdictions;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 xml:space="preserve">discrete impact tax items, including items resulting from the amount and timing of equity exercises and our stock price.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have an adverse effect on our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Certain U.S. state tax authorities may assert that we have a state nexus and seek to impose state and local taxes, which could adversely affect our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reported financial results may be adversely affected by changes in accounting principles generally accepted in the United States.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Quarterly Report on Form 10-Q for additional information on recently issued but not yet adopted accounting standards.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prove to be incorrect, our results of operations could be adversely affected.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 xml:space="preserve">Risks Related to Our Relationships with Third Parties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growth depends in part on the success of our strategic relationships with, and monitoring of, third parties, including channel partners and vendors, as well as insurance carriers.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If we fail to maintain an efficient pharmacy distribution network or if there is a disruption to our network of specialty pharmacies or their supply chains or business economics, our business, financial condition and results of operations could suffer.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lose our relationship with one or more key pharmacy program partners, or if the rebates provided by pharmacy program partners decline, our business and results of operations could be adversely affected.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marketing efforts depend on our ability to maintain our relationships with benefits consultants and receive positive references from our existing clients, channel partners and benefits consultants.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offerings and impair our ability to attract new clients and retain existing clients. Any of these consequences could have an adverse effect on our business, financial condition and 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Legal and Regulatory Requirements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operate in a highly regulated industry and must comply with a significant number of new and evolving legal and regulatory requirements, as well as complex judicial mandates, which could have an adverse impact on our business.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We have </w:t>
      </w:r>
      <w:r>
        <w:rPr>
          <w:rFonts w:ascii="Times New Roman;serif" w:hAnsi="Times New Roman;serif"/>
          <w:b w:val="false"/>
          <w:color w:val="000000"/>
          <w:sz w:val="20"/>
        </w:rPr>
        <w:t>structured</w:t>
      </w:r>
      <w:r>
        <w:rPr>
          <w:color w:val="000000"/>
          <w:shd w:fill="FFFFFF" w:val="clear"/>
        </w:rPr>
        <w:t xml:space="preserve"> </w:t>
      </w:r>
      <w:r>
        <w:rPr>
          <w:rFonts w:ascii="Times New Roman;serif" w:hAnsi="Times New Roman;serif"/>
          <w:b w:val="false"/>
          <w:color w:val="000000"/>
          <w:sz w:val="20"/>
          <w:shd w:fill="FFFFFF" w:val="clear"/>
        </w:rPr>
        <w:t>our operations to comply with</w:t>
      </w:r>
      <w:r>
        <w:rPr>
          <w:color w:val="000000"/>
        </w:rPr>
        <w:t xml:space="preserve"> </w:t>
      </w:r>
      <w:r>
        <w:rPr>
          <w:rFonts w:ascii="Times New Roman;serif" w:hAnsi="Times New Roman;serif"/>
          <w:b w:val="false"/>
          <w:color w:val="000000"/>
          <w:sz w:val="20"/>
        </w:rPr>
        <w:t>all</w:t>
      </w:r>
      <w:r>
        <w:rPr>
          <w:color w:val="000000"/>
          <w:shd w:fill="FFFFFF" w:val="clear"/>
        </w:rPr>
        <w:t xml:space="preserve"> </w:t>
      </w:r>
      <w:r>
        <w:rPr>
          <w:rFonts w:ascii="Times New Roman;serif" w:hAnsi="Times New Roman;serif"/>
          <w:b w:val="false"/>
          <w:color w:val="000000"/>
          <w:sz w:val="20"/>
          <w:shd w:fill="FFFFFF" w:val="clear"/>
        </w:rPr>
        <w:t xml:space="preserve">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w:t>
      </w:r>
      <w:r>
        <w:rPr>
          <w:rFonts w:ascii="Times New Roman;serif" w:hAnsi="Times New Roman;serif"/>
          <w:b w:val="false"/>
          <w:color w:val="000000"/>
          <w:sz w:val="20"/>
        </w:rPr>
        <w:t>Any changes in law or future determinations</w:t>
      </w:r>
      <w:r>
        <w:rPr>
          <w:color w:val="000000"/>
          <w:shd w:fill="FFFFFF" w:val="clear"/>
        </w:rPr>
        <w:t xml:space="preserve"> </w:t>
      </w:r>
      <w:r>
        <w:rPr>
          <w:rFonts w:ascii="Times New Roman;serif" w:hAnsi="Times New Roman;serif"/>
          <w:b w:val="false"/>
          <w:color w:val="000000"/>
          <w:sz w:val="20"/>
          <w:shd w:fill="FFFFFF" w:val="clear"/>
        </w:rPr>
        <w:t xml:space="preserve">by a court or agency that our corporate structure, solutions or services violate, or cause our clients or network partners to violate, applicable laws, regulations or other requirements could subject us or our clients to significant administrative, civil or criminal penalties. Such </w:t>
      </w:r>
      <w:r>
        <w:rPr>
          <w:rFonts w:ascii="Times New Roman;serif" w:hAnsi="Times New Roman;serif"/>
          <w:b w:val="false"/>
          <w:color w:val="000000"/>
          <w:sz w:val="20"/>
        </w:rPr>
        <w:t>changes may</w:t>
      </w:r>
      <w:r>
        <w:rPr>
          <w:color w:val="000000"/>
          <w:shd w:fill="FFFFFF" w:val="clear"/>
        </w:rPr>
        <w:t xml:space="preserve"> </w:t>
      </w:r>
      <w:r>
        <w:rPr>
          <w:rFonts w:ascii="Times New Roman;serif" w:hAnsi="Times New Roman;serif"/>
          <w:b w:val="false"/>
          <w:color w:val="000000"/>
          <w:sz w:val="20"/>
          <w:shd w:fill="FFFFFF" w:val="clear"/>
        </w:rPr>
        <w:t xml:space="preserve">also </w:t>
      </w:r>
      <w:r>
        <w:rPr>
          <w:rFonts w:ascii="Times New Roman;serif" w:hAnsi="Times New Roman;serif"/>
          <w:b w:val="false"/>
          <w:color w:val="000000"/>
          <w:sz w:val="20"/>
        </w:rPr>
        <w:t>impact our ability to offer our products in the same manner to our clients, which may require</w:t>
      </w:r>
      <w:r>
        <w:rPr>
          <w:color w:val="000000"/>
          <w:shd w:fill="FFFFFF" w:val="clear"/>
        </w:rPr>
        <w:t xml:space="preserve"> </w:t>
      </w:r>
      <w:r>
        <w:rPr>
          <w:rFonts w:ascii="Times New Roman;serif" w:hAnsi="Times New Roman;serif"/>
          <w:b w:val="false"/>
          <w:color w:val="000000"/>
          <w:sz w:val="20"/>
          <w:shd w:fill="FFFFFF" w:val="clear"/>
        </w:rPr>
        <w:t>us to change</w:t>
      </w:r>
      <w:r>
        <w:rPr>
          <w:rFonts w:ascii="Times New Roman;serif" w:hAnsi="Times New Roman;serif"/>
          <w:b w:val="false"/>
          <w:color w:val="000000"/>
          <w:sz w:val="20"/>
        </w:rPr>
        <w:t xml:space="preserve">, reduce, </w:t>
      </w:r>
      <w:r>
        <w:rPr>
          <w:rFonts w:ascii="Times New Roman;serif" w:hAnsi="Times New Roman;serif"/>
          <w:b w:val="false"/>
          <w:color w:val="000000"/>
          <w:sz w:val="20"/>
          <w:shd w:fill="FFFFFF" w:val="clear"/>
        </w:rPr>
        <w:t xml:space="preserve">or terminate portions of our business, disqualify us from serving clients in certain states or clients that do business with government entities, or to refund some or all of our service fees or otherwise compensate our clients.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we continue to execute on our growth strategy, we may be subject to new laws, regulations, and other requirements. We announced that we anticipate offering our fertility solution to large group fully insured employers, which will subject us to additional laws, regulations and other requirements. We expect to devote a significant amount of management time and resources related to ensuring regulatory compliance in connection this new offering, and such compliance costs will be ongoing and may increase in the future. 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our Annual Report on Form 10-K.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State and Federal Laws Related to Reproductive Rights and Fertility Benefits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Licensing Requirements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Many states have licensure or registration requirements for entities acting as a third party administrator, or TPA, or pharmacy benefit manager,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In addition, </w:t>
      </w:r>
      <w:r>
        <w:rPr>
          <w:rFonts w:ascii="Times New Roman;serif" w:hAnsi="Times New Roman;serif"/>
          <w:b w:val="false"/>
          <w:color w:val="000000"/>
          <w:sz w:val="20"/>
          <w:shd w:fill="FFFFFF" w:val="clear"/>
        </w:rPr>
        <w:t>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w:t>
      </w:r>
      <w:r>
        <w:rPr>
          <w:color w:val="000000"/>
        </w:rPr>
        <w:t xml:space="preserve"> </w:t>
      </w:r>
      <w:r>
        <w:rPr>
          <w:rFonts w:ascii="Times New Roman;serif" w:hAnsi="Times New Roman;serif"/>
          <w:b w:val="false"/>
          <w:color w:val="000000"/>
          <w:sz w:val="20"/>
          <w:shd w:fill="FFFFFF" w:val="clear"/>
        </w:rPr>
        <w:t>personnel obtain the necessary licensure, which may adversely affect our results of operations, our relationships with our clients and members, and cause us to be in breach of our contractual arrangements.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HIPAA Privacy and Security Requirements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When acting as a “Business Associate” under the Health Insurance Portability and Accountability Act of 1996, as amended, or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HHS' Office for Civil Rights, or OCR. In the event the OCR finds that we have failed to comply with applicable HIPAA privacy and security standards, we could face civil and criminal penalties.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Other Data Privacy and Cybersecurity Requirements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In addition to HIPAA, </w:t>
      </w:r>
      <w:r>
        <w:rPr>
          <w:rFonts w:ascii="Times New Roman;serif" w:hAnsi="Times New Roman;serif"/>
          <w:b w:val="false"/>
          <w:color w:val="000000"/>
          <w:sz w:val="20"/>
          <w:shd w:fill="FFFFFF" w:val="clear"/>
        </w:rPr>
        <w:t>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California Consumer Privacy Act, as amended by the California Privacy Rights Act, or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and could lead to additional liability risks.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Data Protection and Breaches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Consumer Protection Laws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30"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ERISA Regulation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Employee Retirement Income Security Act of 1974, or 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Department of Labor, or DOL, the agency that enforces ERISA, will not in the future assert that the fiduciary obligations imposed by ERISA apply to certain aspects of our operations or courts will not reach such a ruling in private ERISA litigation.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Separately, although ERISA generally preempts state laws that would otherwise apply to ERISA plans, recent Supreme Court rulings continue to clarify ERISA preemption as it relates to PBMs. If the 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State Corporate Practice and Fee-Splitting Prohibitions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Restrictions on Communication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enforcement by the Federal Trade Commission, or FTC,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are part of the broader healthcare industry and subject to increasing scrutiny, disclosure requirements and regulation within our business, including with respect to Progyny Rx’s PBM operations, which may adversely affect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w:t>
      </w:r>
      <w:r>
        <w:rPr>
          <w:rFonts w:ascii="Times New Roman;serif" w:hAnsi="Times New Roman;serif"/>
          <w:b w:val="false"/>
          <w:color w:val="000000"/>
          <w:sz w:val="20"/>
          <w:shd w:fill="FFFFFF" w:val="clear"/>
        </w:rPr>
        <w:t xml:space="preserve">or create additional legal and regulatory requirements could impact our operations, the use of our solutions and services, and our ability to market new solutions and services, or could create unexpected liabilities for us.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on February 3, 2026, the Consolidated Appropriations Act of 2026 was signed into law and includes PBM reforms that would, among other things, require PBMs to disclose information on their costs, fees and rebates; require 100% of the rebates to be passed on to consumers; and impose other disclosure, reporting and audit requirements on PBMs.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The Supreme Court’s ruling in </w:t>
      </w:r>
      <w:r>
        <w:rPr>
          <w:rFonts w:ascii="Times New Roman;serif" w:hAnsi="Times New Roman;serif"/>
          <w:b w:val="false"/>
          <w:i/>
          <w:color w:val="000000"/>
          <w:sz w:val="20"/>
          <w:shd w:fill="FFFFFF" w:val="clear"/>
        </w:rPr>
        <w:t>Rutledge</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 xml:space="preserve">Mckee Foods v. BFP Inc. </w:t>
      </w:r>
      <w:r>
        <w:rPr>
          <w:rFonts w:ascii="Times New Roman;serif" w:hAnsi="Times New Roman;serif"/>
          <w:b w:val="false"/>
          <w:color w:val="000000"/>
          <w:sz w:val="20"/>
          <w:shd w:fill="FFFFFF" w:val="clear"/>
        </w:rPr>
        <w:t xml:space="preserve">and other recent rulings have provided more clarity on the legality of state-level legislation regulating PBMs. However, new legislation aimed at controlling prescription drug costs and providing pricing transparency and regulatory oversight of PBMs continue to be enacted. A large majority of states have adopted some form of oversight legislation. In certain states, PBMs are required to file transparency reports or otherwise disclose contractual arrangements with health plans or health insurance issuers and regulators have begun to conduct audits of PBM operations.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are subject to anti-corruption, anti-bribery, anti-money laundering, and similar laws, and non-compliance with such laws can subject us to criminal or civil liability and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stock price may experience volatility, and the value of our common stock may decline.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may fluctuate or decline substantially as a result of this and a variety of factors, some of which are beyond our control, including, but not limited to:</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high volume of direct sales into the market by large investors;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stock repurchases by us;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actual or anticipated fluctuations in our financial condition or results of operations;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publications of research or other reports about us or our industry, including those that may contain inaccurate or misleading information, financial estimates about us, or changes in recommendations or withdrawal of research coverage by securities analysts;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the pricing of our solutions and services;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our projected operating and financial results;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general economic, industry, political and market conditions;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laws or regulations applicable to our products and solutions;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announcements by us or our competitors of significant business developments, acquisitions, or new offerings;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significant data breaches affecting our company, provider clinics, third-party vendors or pharmacy network partners;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our involvement in litigation or threats of litigation against us;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future sales of our common stock by us or our stockholders;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sales and purchases of our common stock by management;</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senior management or key personnel;</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the trading volume of our common stock;</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war, incidents of terrorism, or responses to these events;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the anticipated future size and growth rate of our market.</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An active trading market for our common stock may not be sustained.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fluctuations in demand for, or pricing of, our solutions;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level and mix of utilization of our solutions by members;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our ability to retain existing clients and attract new clients;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client expansion rates;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clients’ budgets and in the timing of their budget cycles and purchasing decisions;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our ability to control costs, including our operating expenses and healthcare costs;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the amount and timing of payment for operating expenses, particularly sales and marketing expenses;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the amount and timing of non-cash expenses, including stock-based compensation expense, goodwill impairments and other non-cash charges;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the amount and timing of costs associated with recruiting, training and integrating new employees and retaining and motivating existing employees;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general economic conditions, as well as economic conditions specifically affecting industries in which our clients operate;</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the impact of new accounting pronouncements;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changes in the competitive dynamics of our market, including consolidation among competitors or clients;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significant cybersecurity breaches of, technical difficulties with, or interruptions to, the delivery and use of our solutions and services.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Future sales of our common stock in the public market, including in connection with financings, acquisitions, our equity incentive plan or otherwise, could cause the market price of our common stock to decline.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unfavorable or inaccurate research, about our business, the market price and trading volume of our common stock could decline.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do not intend to pay dividends for the foreseeable future, and, as a result, your ability to receive a return on your investment will depend on appreciation in the price of our common stock.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Anti-takeover provisions in our charter documents and under Delaware law could make an acquisition of our company more difficult, limit attempts by our stockholders to replace or remove our current management and limit the market price of our common stock.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authorize our Board of Directors to issue, without further action by stockholders, shares of undesignated preferred stock with terms, rights, and preferences determined by our Board of Directors and which may be senior to our common stock;</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before="0" w:after="0"/>
        <w:jc w:val="both"/>
        <w:rPr/>
      </w:pPr>
      <w:r>
        <w:rPr/>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before="0" w:after="0"/>
        <w:jc w:val="left"/>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provide that our directors may be removed for cause only upon the vote of at least 66 and 2/3% of our outstanding shares of voting stock;</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provide that vacancies on our Board of Directors may be filled only by a majority of directors then in office, even though less than a quorum;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0"/>
        </w:rPr>
        <w:t>require the approval of our Board of Directors or the holders of at least 66 and 2/3% of our outstanding shares of voting stock to amend our second amended and restated bylaws and certain provisions of our amended and restated certificate of incorporation.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Purchases of Equity Securities by the Issuer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Settlement of Equity Awards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restricted stock units are subject to vesting and the underlying shares of common stock are issued when the restricted stock units vest.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second quarter of 2026, we withheld shares through net settlements (where the award holder receives the net of the shares vested, after surrendering a portion of the shares back to the Company for tax withholding) for certain restricted stock units that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Share Repurchase Program</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On May 26, 2026, the Company announced the May 2026 share repurchase program (the "May 2026 share repurchase program") of up to </w:t>
      </w:r>
      <w:r>
        <w:rPr>
          <w:rFonts w:ascii="Times New Roman;serif" w:hAnsi="Times New Roman;serif"/>
          <w:b w:val="false"/>
          <w:color w:val="000000"/>
          <w:sz w:val="20"/>
        </w:rPr>
        <w:t>$200 million</w:t>
      </w:r>
      <w:r>
        <w:rPr>
          <w:color w:val="000000"/>
          <w:shd w:fill="FFFFFF" w:val="clear"/>
        </w:rPr>
        <w:t xml:space="preserve"> </w:t>
      </w:r>
      <w:r>
        <w:rPr>
          <w:rFonts w:ascii="Times New Roman;serif" w:hAnsi="Times New Roman;serif"/>
          <w:b w:val="false"/>
          <w:color w:val="000000"/>
          <w:sz w:val="20"/>
          <w:shd w:fill="FFFFFF" w:val="clear"/>
        </w:rPr>
        <w:t>in shares of common stock. Repurchases under the May 2026 share repurchase program may be made in the form of open market repurchases, including through plans complying with Rule 10b5-1 under the Exchange Act, depending on stock price, market conditions, and other factors, as determined by the Company. There can be no assurance as to the total number of shares that will be repurchased by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The following table provides a summary of share repurchase activity as well as shares surrendered back to the Company for tax withholding on restricted stock units that vested under our equity incentive plans in the three months ended June 30, 2026</w:t>
      </w:r>
      <w:r>
        <w:rPr>
          <w:rFonts w:ascii="Arial;sans-serif" w:hAnsi="Arial;sans-serif"/>
          <w:b w:val="false"/>
          <w:color w:val="000000"/>
          <w:sz w:val="24"/>
        </w:rPr>
        <w:t>:</w:t>
      </w:r>
    </w:p>
    <w:tbl>
      <w:tblPr>
        <w:tblW w:w="10205" w:type="dxa"/>
        <w:jc w:val="left"/>
        <w:tblInd w:w="0" w:type="dxa"/>
        <w:tblLayout w:type="fixed"/>
        <w:tblCellMar>
          <w:top w:w="28" w:type="dxa"/>
          <w:left w:w="28" w:type="dxa"/>
          <w:bottom w:w="28" w:type="dxa"/>
          <w:right w:w="28" w:type="dxa"/>
        </w:tblCellMar>
      </w:tblPr>
      <w:tblGrid>
        <w:gridCol w:w="726"/>
        <w:gridCol w:w="417"/>
        <w:gridCol w:w="423"/>
        <w:gridCol w:w="109"/>
        <w:gridCol w:w="109"/>
        <w:gridCol w:w="109"/>
        <w:gridCol w:w="496"/>
        <w:gridCol w:w="496"/>
        <w:gridCol w:w="497"/>
        <w:gridCol w:w="109"/>
        <w:gridCol w:w="109"/>
        <w:gridCol w:w="109"/>
        <w:gridCol w:w="530"/>
        <w:gridCol w:w="430"/>
        <w:gridCol w:w="275"/>
        <w:gridCol w:w="109"/>
        <w:gridCol w:w="109"/>
        <w:gridCol w:w="109"/>
        <w:gridCol w:w="734"/>
        <w:gridCol w:w="722"/>
        <w:gridCol w:w="725"/>
        <w:gridCol w:w="109"/>
        <w:gridCol w:w="109"/>
        <w:gridCol w:w="109"/>
        <w:gridCol w:w="965"/>
        <w:gridCol w:w="748"/>
        <w:gridCol w:w="713"/>
      </w:tblGrid>
      <w:tr>
        <w:trPr/>
        <w:tc>
          <w:tcPr>
            <w:tcW w:w="7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 xml:space="preserve">Total Number of Shares Repurchased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Maximum Dollar Amount of Shares That May Yet Be Purchased Under the Program </w:t>
              <w:br/>
              <w:t>(in thousands)</w:t>
            </w:r>
          </w:p>
        </w:tc>
      </w:tr>
      <w:tr>
        <w:trPr/>
        <w:tc>
          <w:tcPr>
            <w:tcW w:w="15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168,500</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erif" w:hAnsi="Times New Roman;serif"/>
          <w:b w:val="false"/>
          <w:color w:val="000000"/>
          <w:sz w:val="13"/>
        </w:rPr>
        <w:t>(1)</w:t>
      </w:r>
      <w:r>
        <w:rPr>
          <w:color w:val="000000"/>
          <w:shd w:fill="FFFFFF" w:val="clear"/>
        </w:rPr>
        <w:t xml:space="preserve"> </w:t>
      </w:r>
      <w:r>
        <w:rPr>
          <w:rFonts w:ascii="Times New Roman;serif" w:hAnsi="Times New Roman;serif"/>
          <w:b w:val="false"/>
          <w:color w:val="000000"/>
          <w:sz w:val="20"/>
          <w:shd w:fill="FFFFFF" w:val="clear"/>
        </w:rPr>
        <w:t>Includes shares withheld on net settlements of restricted stock units that vested under our equity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c.On May 28, 2026, Mark Livingston, our Chief Financial Officer, adopted a trading plan that is intended to satisfy the conditions under Rule 10b5-1(c) of the Exchange Act. Mr. Livingston’s trading plan is for the sale of up to 28,121 shares of the Company’s common stock in amounts and prices determined in accordance with a formula set forth in the plan. The plan terminates on the earlier of the date all shares under the plan are sold or May 28,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25, 2026, Allison Swartz, our General Counsel and Secretary, adopted a trading plan that is intended to satisfy the conditions under Rule 10b5-1(c) of the Exchange Act. Ms. Swartz’s trading plan is for the sale of up to 30,523 shares of the Company’s common stock in amounts and prices determined in accordance with a formula set forth in the plan. The plan terminates on the earlier of the date all shares under the plan are sold or June 24, 2027.</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2, 2026, Pete Anevski, our Chief Executive Officer, adopted a trading plan that is intended to satisfy the conditions under Rule 10b5-1(c) of the Exchange Act. Mr. Anevski’s trading plan is for the sale of up to 1,970,286 shares of the Company’s common stock in amounts and prices determined in accordance with a formula set forth in the plan and an additional indeterminate number of shares sold in eligible “sell-to-cover transactions” (as described in Rule 10b5-1(c)(1)(ii)(D)(3) under the Exchange Act) to satisfy tax withholding obligations arising exclusively from vesting of RSUs or PSUs. The number of shares subject to covered RSUs or PSUs that will be sold to satisfy applicable tax withholding obligations upon vesting is not currently determinable as the number will vary based on the market price of our common stock and the extent to which vesting conditions are satisfied. The plan terminates on the earlier of the date all shares under the plan are sold or October 31, 2027.</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2, 2026, David Schlanger, our Executive Chairman, adopted a trading plan that is intended to satisfy the conditions under Rule 10b5-1(c) of the Exchange Act. Mr. Schlanger’s trading plan is for the sale of up to 1,300,000 shares of the Company’s common stock in amounts and prices determined in accordance with a formula set forth in the plan. The plan terminates on the earlier of the date all shares under the plan are sold or October 31,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3"/>
        <w:gridCol w:w="250"/>
        <w:gridCol w:w="251"/>
        <w:gridCol w:w="109"/>
        <w:gridCol w:w="109"/>
        <w:gridCol w:w="109"/>
        <w:gridCol w:w="1395"/>
        <w:gridCol w:w="1395"/>
        <w:gridCol w:w="1409"/>
        <w:gridCol w:w="109"/>
        <w:gridCol w:w="109"/>
        <w:gridCol w:w="109"/>
        <w:gridCol w:w="170"/>
        <w:gridCol w:w="170"/>
        <w:gridCol w:w="171"/>
        <w:gridCol w:w="109"/>
        <w:gridCol w:w="109"/>
        <w:gridCol w:w="109"/>
        <w:gridCol w:w="173"/>
        <w:gridCol w:w="173"/>
        <w:gridCol w:w="174"/>
        <w:gridCol w:w="109"/>
        <w:gridCol w:w="109"/>
        <w:gridCol w:w="109"/>
        <w:gridCol w:w="210"/>
        <w:gridCol w:w="210"/>
        <w:gridCol w:w="211"/>
        <w:gridCol w:w="109"/>
        <w:gridCol w:w="109"/>
        <w:gridCol w:w="109"/>
        <w:gridCol w:w="175"/>
        <w:gridCol w:w="175"/>
        <w:gridCol w:w="176"/>
        <w:gridCol w:w="109"/>
        <w:gridCol w:w="109"/>
        <w:gridCol w:w="109"/>
        <w:gridCol w:w="312"/>
        <w:gridCol w:w="312"/>
        <w:gridCol w:w="448"/>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Filed/Furnished</w:t>
              <w:br/>
              <w:t>Herewith</w:t>
            </w:r>
          </w:p>
        </w:tc>
      </w:tr>
      <w:tr>
        <w:trPr/>
        <w:tc>
          <w:tcPr>
            <w:tcW w:w="7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left"/>
              <w:rPr/>
            </w:pPr>
            <w:hyperlink w:anchor="pgny-20260630xex311.htm">
              <w:r>
                <w:rPr>
                  <w:rStyle w:val="InternetLink"/>
                  <w:rFonts w:ascii="Times New Roman;serif" w:hAnsi="Times New Roman;serif"/>
                  <w:b w:val="false"/>
                  <w:color w:val="0000FF"/>
                  <w:sz w:val="20"/>
                  <w:u w:val="single"/>
                </w:rPr>
                <w:t>Certification of Chief Executive Officer pursuant to Exchange Act Rule 13a-14(a).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60630xex312.htm">
              <w:r>
                <w:rPr>
                  <w:rStyle w:val="InternetLink"/>
                  <w:rFonts w:ascii="Times New Roman;serif" w:hAnsi="Times New Roman;serif"/>
                  <w:b w:val="false"/>
                  <w:color w:val="0000FF"/>
                  <w:sz w:val="20"/>
                  <w:u w:val="single"/>
                </w:rPr>
                <w:t>Certification of Chief Financial Officer pursuant to Exchange Act Rule 13a-14(a).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60630xex321.htm">
              <w:r>
                <w:rPr>
                  <w:rStyle w:val="InternetLink"/>
                  <w:rFonts w:ascii="Times New Roman;serif" w:hAnsi="Times New Roman;serif"/>
                  <w:b w:val="false"/>
                  <w:color w:val="000080"/>
                  <w:sz w:val="20"/>
                  <w:u w:val="single"/>
                </w:rPr>
                <w:t xml:space="preserve">Certification of </w:t>
              </w:r>
            </w:hyperlink>
            <w:hyperlink w:anchor="pgny-20260630xex321.htm">
              <w:r>
                <w:rPr>
                  <w:rStyle w:val="InternetLink"/>
                  <w:rFonts w:ascii="Times New Roman;serif" w:hAnsi="Times New Roman;serif"/>
                  <w:b w:val="false"/>
                  <w:color w:val="000080"/>
                  <w:sz w:val="20"/>
                  <w:u w:val="single"/>
                </w:rPr>
                <w:t>Chief</w:t>
              </w:r>
            </w:hyperlink>
            <w:hyperlink w:anchor="pgny-20260630xex321.htm">
              <w:r>
                <w:rPr>
                  <w:rStyle w:val="InternetLink"/>
                  <w:rFonts w:ascii="Times New Roman;serif" w:hAnsi="Times New Roman;serif"/>
                  <w:b w:val="false"/>
                  <w:color w:val="000080"/>
                  <w:sz w:val="20"/>
                  <w:u w:val="single"/>
                </w:rPr>
                <w:t xml:space="preserve">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60630xex322.htm">
              <w:r>
                <w:rPr>
                  <w:rStyle w:val="InternetLink"/>
                  <w:rFonts w:ascii="Times New Roman;serif" w:hAnsi="Times New Roman;serif"/>
                  <w:b w:val="false"/>
                  <w:color w:val="0000FF"/>
                  <w:sz w:val="20"/>
                  <w:u w:val="single"/>
                </w:rPr>
                <w:t>Certification of Chief Financial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erif" w:hAnsi="Times New Roman;serif"/>
            <w:b w:val="false"/>
            <w:color w:val="000080"/>
            <w:sz w:val="20"/>
            <w:u w:val="single"/>
          </w:rPr>
          <w:t xml:space="preserve">Table of </w:t>
        </w:r>
      </w:hyperlink>
      <w:hyperlink w:anchor="id9afbabdceed4c78b2e77c21e334c072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86" w:type="dxa"/>
        <w:jc w:val="left"/>
        <w:tblInd w:w="0" w:type="dxa"/>
        <w:tblLayout w:type="fixed"/>
        <w:tblCellMar>
          <w:top w:w="28" w:type="dxa"/>
          <w:left w:w="28" w:type="dxa"/>
          <w:bottom w:w="28" w:type="dxa"/>
          <w:right w:w="28" w:type="dxa"/>
        </w:tblCellMar>
      </w:tblPr>
      <w:tblGrid>
        <w:gridCol w:w="667"/>
        <w:gridCol w:w="587"/>
        <w:gridCol w:w="590"/>
        <w:gridCol w:w="191"/>
        <w:gridCol w:w="191"/>
        <w:gridCol w:w="191"/>
        <w:gridCol w:w="1129"/>
        <w:gridCol w:w="1129"/>
        <w:gridCol w:w="161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Progyny, Inc.</w:t>
            </w:r>
          </w:p>
          <w:p>
            <w:pPr>
              <w:pStyle w:val="TableContents"/>
              <w:bidi w:val="0"/>
              <w:spacing w:lineRule="auto" w:line="276" w:before="15" w:after="283"/>
              <w:jc w:val="left"/>
              <w:rPr/>
            </w:pPr>
            <w:r>
              <w:rPr>
                <w:rFonts w:ascii="Times New Roman;serif" w:hAnsi="Times New Roman;serif"/>
                <w:b w:val="false"/>
                <w:color w:val="000000"/>
                <w:sz w:val="20"/>
                <w:shd w:fill="FFFFFF" w:val="clear"/>
              </w:rPr>
              <w:t>(</w:t>
            </w:r>
            <w:r>
              <w:rPr>
                <w:rFonts w:ascii="Times New Roman;serif" w:hAnsi="Times New Roman;serif"/>
                <w:b/>
                <w:i/>
                <w:color w:val="000000"/>
                <w:sz w:val="20"/>
                <w:shd w:fill="FFFFFF" w:val="clear"/>
              </w:rPr>
              <w:t>Registrant</w:t>
            </w:r>
            <w:r>
              <w:rPr>
                <w:rFonts w:ascii="Times New Roman;serif" w:hAnsi="Times New Roman;serif"/>
                <w:b w:val="false"/>
                <w:color w:val="000000"/>
                <w:sz w:val="20"/>
                <w:shd w:fill="FFFFFF" w:val="clear"/>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Anevski</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Peter Anevski</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Chief Executive Officer </w:t>
            </w:r>
          </w:p>
          <w:p>
            <w:pPr>
              <w:pStyle w:val="TableContents"/>
              <w:bidi w:val="0"/>
              <w:spacing w:lineRule="auto" w:line="276" w:before="15" w:after="283"/>
              <w:jc w:val="center"/>
              <w:rPr/>
            </w:pP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Principal Executive Officer</w:t>
            </w:r>
            <w:r>
              <w:rPr>
                <w:rFonts w:ascii="Times New Roman;serif" w:hAnsi="Times New Roman;serif"/>
                <w:b w:val="false"/>
                <w:color w:val="000000"/>
                <w:sz w:val="20"/>
                <w:shd w:fill="FFFFFF" w:val="clear"/>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Livingston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Mark Livingston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Chief Financial Officer</w:t>
            </w:r>
          </w:p>
          <w:p>
            <w:pPr>
              <w:pStyle w:val="TableContents"/>
              <w:bidi w:val="0"/>
              <w:spacing w:lineRule="auto" w:line="276" w:before="15" w:after="283"/>
              <w:jc w:val="center"/>
              <w:rPr/>
            </w:pP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Principal Financial and Accounting Officer</w:t>
            </w:r>
            <w:r>
              <w:rPr>
                <w:rFonts w:ascii="Times New Roman;serif" w:hAnsi="Times New Roman;serif"/>
                <w:b w:val="false"/>
                <w:color w:val="000000"/>
                <w:sz w:val="20"/>
                <w:shd w:fill="FFFFFF" w:val="clear"/>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Peter Anevski,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Progyny,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7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712"/>
        <w:gridCol w:w="712"/>
        <w:gridCol w:w="100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Anevski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Peter Anevski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76" w:before="15"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Mark Livingston,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Progyny,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2"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Livingston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Mark Livingston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76" w:before="15"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Progyny, Inc. (the “Company”)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7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712"/>
        <w:gridCol w:w="712"/>
        <w:gridCol w:w="100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Anevski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Peter Anevski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76" w:before="15"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Progyny, Inc. (the “Company”)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62"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Livingston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Mark Livingston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76" w:before="15"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41620</Words>
  <Characters>232894</Characters>
  <CharactersWithSpaces>272723</CharactersWithSpaces>
  <Paragraphs>2627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