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466090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940"/>
        <w:spacing w:after="0"/>
        <w:rPr>
          <w:sz w:val="20"/>
          <w:szCs w:val="20"/>
          <w:color w:val="auto"/>
        </w:rPr>
      </w:pPr>
      <w:r>
        <w:rPr>
          <w:rFonts w:ascii="Times New Roman" w:cs="Times New Roman" w:eastAsia="Times New Roman" w:hAnsi="Times New Roman"/>
          <w:sz w:val="16"/>
          <w:szCs w:val="16"/>
          <w:color w:val="auto"/>
        </w:rPr>
        <w:t>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____________________________________________</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(Mark One)</w:t>
      </w:r>
    </w:p>
    <w:p>
      <w:pPr>
        <w:spacing w:after="0" w:line="36" w:lineRule="exact"/>
        <w:rPr>
          <w:sz w:val="24"/>
          <w:szCs w:val="24"/>
          <w:color w:val="auto"/>
        </w:rPr>
      </w:pPr>
    </w:p>
    <w:p>
      <w:pPr>
        <w:ind w:left="640" w:hanging="621"/>
        <w:spacing w:after="0"/>
        <w:tabs>
          <w:tab w:leader="none" w:pos="640" w:val="left"/>
        </w:tabs>
        <w:numPr>
          <w:ilvl w:val="0"/>
          <w:numId w:val="1"/>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June 30, 2025</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16" w:lineRule="exact"/>
        <w:rPr>
          <w:sz w:val="24"/>
          <w:szCs w:val="24"/>
          <w:color w:val="auto"/>
        </w:rPr>
      </w:pPr>
    </w:p>
    <w:p>
      <w:pPr>
        <w:ind w:left="640" w:hanging="621"/>
        <w:spacing w:after="0"/>
        <w:tabs>
          <w:tab w:leader="none" w:pos="640" w:val="left"/>
        </w:tabs>
        <w:numPr>
          <w:ilvl w:val="0"/>
          <w:numId w:val="2"/>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9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___________________ to ___________________</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001-39100</w:t>
      </w:r>
    </w:p>
    <w:p>
      <w:pPr>
        <w:spacing w:after="0" w:line="1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____________________________________________</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Progyny, Inc.</w:t>
      </w:r>
    </w:p>
    <w:p>
      <w:pPr>
        <w:sectPr>
          <w:pgSz w:w="11900" w:h="16838" w:orient="portrait"/>
          <w:cols w:equalWidth="0" w:num="1">
            <w:col w:w="11300"/>
          </w:cols>
          <w:pgMar w:left="300" w:top="231" w:right="299" w:bottom="1440" w:gutter="0" w:footer="0" w:header="0"/>
        </w:sectPr>
      </w:pPr>
    </w:p>
    <w:p>
      <w:pPr>
        <w:spacing w:after="0" w:line="46" w:lineRule="exact"/>
        <w:rPr>
          <w:sz w:val="24"/>
          <w:szCs w:val="24"/>
          <w:color w:val="auto"/>
        </w:rPr>
      </w:pPr>
    </w:p>
    <w:p>
      <w:pPr>
        <w:jc w:val="center"/>
        <w:ind w:left="388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ind w:left="3940"/>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135"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5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8"/>
          <w:szCs w:val="8"/>
          <w:b w:val="1"/>
          <w:bCs w:val="1"/>
          <w:color w:val="auto"/>
        </w:rPr>
        <w:t>(State or other jurisdiction of</w:t>
      </w:r>
    </w:p>
    <w:p>
      <w:pPr>
        <w:spacing w:after="0" w:line="13"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8"/>
          <w:szCs w:val="8"/>
          <w:b w:val="1"/>
          <w:bCs w:val="1"/>
          <w:color w:val="auto"/>
        </w:rPr>
        <w:t>incorporation or organization)</w:t>
      </w:r>
    </w:p>
    <w:p>
      <w:pPr>
        <w:spacing w:after="0" w:line="35"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3"/>
          <w:szCs w:val="13"/>
          <w:b w:val="1"/>
          <w:bCs w:val="1"/>
          <w:color w:val="auto"/>
        </w:rPr>
        <w:t>1359 Broadway</w:t>
      </w:r>
    </w:p>
    <w:p>
      <w:pPr>
        <w:spacing w:after="0" w:line="18"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2"/>
          <w:szCs w:val="12"/>
          <w:b w:val="1"/>
          <w:bCs w:val="1"/>
          <w:color w:val="auto"/>
        </w:rPr>
        <w:t xml:space="preserve">New York, </w:t>
      </w:r>
      <w:r>
        <w:rPr>
          <w:rFonts w:ascii="Times New Roman" w:cs="Times New Roman" w:eastAsia="Times New Roman" w:hAnsi="Times New Roman"/>
          <w:sz w:val="13"/>
          <w:szCs w:val="13"/>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27-2220139</w:t>
      </w:r>
    </w:p>
    <w:p>
      <w:pPr>
        <w:spacing w:after="0" w:line="6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21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10018</w:t>
      </w:r>
    </w:p>
    <w:p>
      <w:pPr>
        <w:spacing w:after="0" w:line="53" w:lineRule="exact"/>
        <w:rPr>
          <w:sz w:val="24"/>
          <w:szCs w:val="24"/>
          <w:color w:val="auto"/>
        </w:rPr>
      </w:pPr>
    </w:p>
    <w:p>
      <w:pPr>
        <w:sectPr>
          <w:pgSz w:w="11900" w:h="16838" w:orient="portrait"/>
          <w:cols w:equalWidth="0" w:num="2">
            <w:col w:w="7420" w:space="720"/>
            <w:col w:w="3160"/>
          </w:cols>
          <w:pgMar w:left="300" w:top="231" w:right="299" w:bottom="1440" w:gutter="0" w:footer="0" w:header="0"/>
          <w:type w:val="continuous"/>
        </w:sectPr>
      </w:pPr>
    </w:p>
    <w:p>
      <w:pPr>
        <w:ind w:left="2120"/>
        <w:spacing w:after="0"/>
        <w:tabs>
          <w:tab w:leader="none" w:pos="8240" w:val="left"/>
        </w:tabs>
        <w:rPr>
          <w:sz w:val="20"/>
          <w:szCs w:val="20"/>
          <w:color w:val="auto"/>
        </w:rPr>
      </w:pPr>
      <w:r>
        <w:rPr>
          <w:rFonts w:ascii="Times New Roman" w:cs="Times New Roman" w:eastAsia="Times New Roman" w:hAnsi="Times New Roman"/>
          <w:sz w:val="8"/>
          <w:szCs w:val="8"/>
          <w:b w:val="1"/>
          <w:bCs w:val="1"/>
          <w:color w:val="auto"/>
        </w:rPr>
        <w:t>(Address of principal executive offices)</w:t>
      </w:r>
      <w:r>
        <w:rPr>
          <w:sz w:val="20"/>
          <w:szCs w:val="20"/>
          <w:color w:val="auto"/>
        </w:rPr>
        <w:tab/>
      </w:r>
      <w:r>
        <w:rPr>
          <w:rFonts w:ascii="Times New Roman" w:cs="Times New Roman" w:eastAsia="Times New Roman" w:hAnsi="Times New Roman"/>
          <w:sz w:val="8"/>
          <w:szCs w:val="8"/>
          <w:b w:val="1"/>
          <w:bCs w:val="1"/>
          <w:color w:val="auto"/>
        </w:rPr>
        <w:t>(Zip Code)</w:t>
      </w:r>
    </w:p>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(212) 888-3124</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82"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1"/>
          <w:szCs w:val="11"/>
          <w:b w:val="1"/>
          <w:bCs w:val="1"/>
          <w:color w:val="auto"/>
        </w:rPr>
        <w:t>N/A</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____________________________________________</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68515" cy="323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8515" cy="323215"/>
                    </a:xfrm>
                    <a:prstGeom prst="rect">
                      <a:avLst/>
                    </a:prstGeom>
                    <a:noFill/>
                  </pic:spPr>
                </pic:pic>
              </a:graphicData>
            </a:graphic>
          </wp:anchor>
        </w:drawing>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48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406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43"/>
        </w:trPr>
        <w:tc>
          <w:tcPr>
            <w:tcW w:w="3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Common Stock,</w:t>
            </w:r>
          </w:p>
        </w:tc>
        <w:tc>
          <w:tcPr>
            <w:tcW w:w="3480" w:type="dxa"/>
            <w:vAlign w:val="bottom"/>
          </w:tcPr>
          <w:p>
            <w:pPr>
              <w:jc w:val="center"/>
              <w:ind w:left="243"/>
              <w:spacing w:after="0"/>
              <w:rPr>
                <w:sz w:val="20"/>
                <w:szCs w:val="20"/>
                <w:color w:val="auto"/>
              </w:rPr>
            </w:pPr>
            <w:r>
              <w:rPr>
                <w:rFonts w:ascii="Times New Roman" w:cs="Times New Roman" w:eastAsia="Times New Roman" w:hAnsi="Times New Roman"/>
                <w:sz w:val="11"/>
                <w:szCs w:val="11"/>
                <w:color w:val="auto"/>
              </w:rPr>
              <w:t>PGNY</w:t>
            </w:r>
          </w:p>
        </w:tc>
        <w:tc>
          <w:tcPr>
            <w:tcW w:w="406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The Nasdaq Global Select Market</w:t>
            </w:r>
          </w:p>
        </w:tc>
      </w:tr>
    </w:tbl>
    <w:p>
      <w:pPr>
        <w:ind w:left="1260"/>
        <w:spacing w:after="0"/>
        <w:rPr>
          <w:sz w:val="20"/>
          <w:szCs w:val="20"/>
          <w:color w:val="auto"/>
        </w:rPr>
      </w:pPr>
      <w:r>
        <w:rPr>
          <w:rFonts w:ascii="Times New Roman" w:cs="Times New Roman" w:eastAsia="Times New Roman" w:hAnsi="Times New Roman"/>
          <w:sz w:val="11"/>
          <w:szCs w:val="11"/>
          <w:color w:val="auto"/>
        </w:rPr>
        <w:t>$0.0001 par value per share</w:t>
      </w:r>
    </w:p>
    <w:p>
      <w:pPr>
        <w:spacing w:after="0" w:line="180" w:lineRule="exact"/>
        <w:rPr>
          <w:sz w:val="24"/>
          <w:szCs w:val="24"/>
          <w:color w:val="auto"/>
        </w:rPr>
      </w:pPr>
    </w:p>
    <w:p>
      <w:pPr>
        <w:jc w:val="both"/>
        <w:ind w:right="20" w:firstLine="509"/>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34" w:lineRule="exact"/>
        <w:rPr>
          <w:sz w:val="24"/>
          <w:szCs w:val="24"/>
          <w:color w:val="auto"/>
        </w:rPr>
      </w:pPr>
    </w:p>
    <w:p>
      <w:pPr>
        <w:jc w:val="both"/>
        <w:ind w:right="20" w:firstLine="509"/>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23" w:lineRule="exact"/>
        <w:rPr>
          <w:sz w:val="24"/>
          <w:szCs w:val="24"/>
          <w:color w:val="auto"/>
        </w:rPr>
      </w:pPr>
    </w:p>
    <w:p>
      <w:pPr>
        <w:jc w:val="both"/>
        <w:ind w:right="20" w:firstLine="509"/>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1680" w:type="dxa"/>
        <w:tblCellMar>
          <w:top w:w="0" w:type="dxa"/>
          <w:left w:w="0" w:type="dxa"/>
          <w:bottom w:w="0" w:type="dxa"/>
          <w:right w:w="0" w:type="dxa"/>
        </w:tblCellMar>
      </w:tblPr>
      <w:tr>
        <w:trPr>
          <w:trHeight w:val="156"/>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640" w:type="dxa"/>
            <w:vAlign w:val="bottom"/>
          </w:tcPr>
          <w:p>
            <w:pPr>
              <w:ind w:left="920"/>
              <w:spacing w:after="0"/>
              <w:rPr>
                <w:sz w:val="20"/>
                <w:szCs w:val="20"/>
                <w:color w:val="auto"/>
              </w:rPr>
            </w:pPr>
            <w:r>
              <w:rPr>
                <w:rFonts w:ascii="Wingdings" w:cs="Wingdings" w:eastAsia="Wingdings" w:hAnsi="Wingdings"/>
                <w:sz w:val="11"/>
                <w:szCs w:val="11"/>
                <w:b w:val="1"/>
                <w:bCs w:val="1"/>
                <w:color w:val="auto"/>
              </w:rPr>
              <w:t>x</w:t>
            </w:r>
          </w:p>
        </w:tc>
        <w:tc>
          <w:tcPr>
            <w:tcW w:w="276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Accelerated filer</w:t>
            </w:r>
          </w:p>
        </w:tc>
        <w:tc>
          <w:tcPr>
            <w:tcW w:w="1020" w:type="dxa"/>
            <w:vAlign w:val="bottom"/>
          </w:tcPr>
          <w:p>
            <w:pPr>
              <w:ind w:left="920"/>
              <w:spacing w:after="0"/>
              <w:rPr>
                <w:sz w:val="20"/>
                <w:szCs w:val="20"/>
                <w:color w:val="auto"/>
              </w:rPr>
            </w:pPr>
            <w:r>
              <w:rPr>
                <w:rFonts w:ascii="Wingdings" w:cs="Wingdings" w:eastAsia="Wingdings" w:hAnsi="Wingdings"/>
                <w:sz w:val="11"/>
                <w:szCs w:val="11"/>
                <w:b w:val="1"/>
                <w:bCs w:val="1"/>
                <w:color w:val="auto"/>
                <w:w w:val="81"/>
              </w:rPr>
              <w:t>o</w:t>
            </w:r>
          </w:p>
        </w:tc>
      </w:tr>
      <w:tr>
        <w:trPr>
          <w:trHeight w:val="171"/>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640" w:type="dxa"/>
            <w:vAlign w:val="bottom"/>
          </w:tcPr>
          <w:p>
            <w:pPr>
              <w:ind w:left="920"/>
              <w:spacing w:after="0"/>
              <w:rPr>
                <w:sz w:val="20"/>
                <w:szCs w:val="20"/>
                <w:color w:val="auto"/>
              </w:rPr>
            </w:pPr>
            <w:r>
              <w:rPr>
                <w:rFonts w:ascii="Wingdings" w:cs="Wingdings" w:eastAsia="Wingdings" w:hAnsi="Wingdings"/>
                <w:sz w:val="11"/>
                <w:szCs w:val="11"/>
                <w:b w:val="1"/>
                <w:bCs w:val="1"/>
                <w:color w:val="auto"/>
              </w:rPr>
              <w:t>o</w:t>
            </w:r>
          </w:p>
        </w:tc>
        <w:tc>
          <w:tcPr>
            <w:tcW w:w="276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20" w:type="dxa"/>
            <w:vAlign w:val="bottom"/>
          </w:tcPr>
          <w:p>
            <w:pPr>
              <w:ind w:left="920"/>
              <w:spacing w:after="0"/>
              <w:rPr>
                <w:sz w:val="20"/>
                <w:szCs w:val="20"/>
                <w:color w:val="auto"/>
              </w:rPr>
            </w:pPr>
            <w:r>
              <w:rPr>
                <w:rFonts w:ascii="Wingdings" w:cs="Wingdings" w:eastAsia="Wingdings" w:hAnsi="Wingdings"/>
                <w:sz w:val="11"/>
                <w:szCs w:val="11"/>
                <w:b w:val="1"/>
                <w:bCs w:val="1"/>
                <w:color w:val="auto"/>
                <w:w w:val="81"/>
              </w:rPr>
              <w:t>o</w:t>
            </w:r>
          </w:p>
        </w:tc>
      </w:tr>
      <w:tr>
        <w:trPr>
          <w:trHeight w:val="170"/>
        </w:trPr>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76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20" w:type="dxa"/>
            <w:vAlign w:val="bottom"/>
          </w:tcPr>
          <w:p>
            <w:pPr>
              <w:ind w:left="92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161" w:lineRule="exact"/>
        <w:rPr>
          <w:sz w:val="24"/>
          <w:szCs w:val="24"/>
          <w:color w:val="auto"/>
        </w:rPr>
      </w:pPr>
    </w:p>
    <w:p>
      <w:pPr>
        <w:ind w:right="20" w:firstLine="509"/>
        <w:spacing w:after="0" w:line="30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55" w:lineRule="exact"/>
        <w:rPr>
          <w:sz w:val="24"/>
          <w:szCs w:val="24"/>
          <w:color w:val="auto"/>
        </w:rPr>
      </w:pPr>
    </w:p>
    <w:p>
      <w:pPr>
        <w:ind w:left="520" w:right="5020"/>
        <w:spacing w:after="0" w:line="461"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As of July 31, 2025, the registrant had 85,982,409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31"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9"/>
        </w:trPr>
        <w:tc>
          <w:tcPr>
            <w:tcW w:w="20" w:type="dxa"/>
            <w:vAlign w:val="bottom"/>
          </w:tcPr>
          <w:p>
            <w:pPr>
              <w:spacing w:after="0"/>
              <w:rPr>
                <w:sz w:val="12"/>
                <w:szCs w:val="12"/>
                <w:color w:val="auto"/>
              </w:rPr>
            </w:pPr>
          </w:p>
        </w:tc>
        <w:tc>
          <w:tcPr>
            <w:tcW w:w="500" w:type="dxa"/>
            <w:vAlign w:val="bottom"/>
            <w:tcBorders>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0000FF"/>
                <w:w w:val="94"/>
              </w:rPr>
              <w:t>PART I.</w:t>
            </w:r>
          </w:p>
        </w:tc>
        <w:tc>
          <w:tcPr>
            <w:tcW w:w="740" w:type="dxa"/>
            <w:vAlign w:val="bottom"/>
            <w:gridSpan w:val="2"/>
          </w:tcPr>
          <w:p>
            <w:pPr>
              <w:spacing w:after="0"/>
              <w:rPr>
                <w:sz w:val="12"/>
                <w:szCs w:val="12"/>
                <w:color w:val="auto"/>
              </w:rPr>
            </w:pPr>
          </w:p>
        </w:tc>
        <w:tc>
          <w:tcPr>
            <w:tcW w:w="188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4"/>
                <w:szCs w:val="14"/>
                <w:b w:val="1"/>
                <w:bCs w:val="1"/>
                <w:color w:val="0000FF"/>
                <w:w w:val="99"/>
              </w:rPr>
              <w:t>FINANCIAL INFORMATION</w:t>
            </w:r>
          </w:p>
        </w:tc>
        <w:tc>
          <w:tcPr>
            <w:tcW w:w="6980" w:type="dxa"/>
            <w:vAlign w:val="bottom"/>
            <w:gridSpan w:val="11"/>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r>
      <w:tr>
        <w:trPr>
          <w:trHeight w:val="394"/>
        </w:trPr>
        <w:tc>
          <w:tcPr>
            <w:tcW w:w="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840" w:type="dxa"/>
            <w:vAlign w:val="bottom"/>
            <w:gridSpan w:val="4"/>
          </w:tcPr>
          <w:p>
            <w:pPr>
              <w:spacing w:after="0"/>
              <w:rPr>
                <w:sz w:val="24"/>
                <w:szCs w:val="24"/>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Consolidated Balance Sheets as of June 30, 2025 and December 31, 2024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6</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Three and Six Months Ended June 30,2025 and 2024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7</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Three and Six Months Ended June 30, 2025 and 2024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8</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Consolidated Statements of Changes in Stockholders’ Equity for the Three and Six Months Ended June 30, 2025 and 2024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9</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9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Six Months Ended June 30, 2025 and 2024</w:t>
            </w:r>
          </w:p>
        </w:tc>
        <w:tc>
          <w:tcPr>
            <w:tcW w:w="18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3600" w:type="dxa"/>
            <w:vAlign w:val="bottom"/>
            <w:gridSpan w:val="4"/>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71"/>
              </w:rPr>
              <w:t>11</w:t>
            </w: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820" w:type="dxa"/>
            <w:vAlign w:val="bottom"/>
            <w:gridSpan w:val="3"/>
          </w:tcPr>
          <w:p>
            <w:pPr>
              <w:spacing w:after="0"/>
              <w:rPr>
                <w:sz w:val="15"/>
                <w:szCs w:val="15"/>
                <w:color w:val="auto"/>
              </w:rPr>
            </w:pPr>
          </w:p>
        </w:tc>
        <w:tc>
          <w:tcPr>
            <w:tcW w:w="5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780" w:type="dxa"/>
            <w:vAlign w:val="bottom"/>
            <w:gridSpan w:val="5"/>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71"/>
              </w:rPr>
              <w:t>24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3.</w:t>
            </w:r>
          </w:p>
        </w:tc>
        <w:tc>
          <w:tcPr>
            <w:tcW w:w="820" w:type="dxa"/>
            <w:vAlign w:val="bottom"/>
            <w:gridSpan w:val="3"/>
          </w:tcPr>
          <w:p>
            <w:pPr>
              <w:spacing w:after="0"/>
              <w:rPr>
                <w:sz w:val="15"/>
                <w:szCs w:val="15"/>
                <w:color w:val="auto"/>
              </w:rPr>
            </w:pPr>
          </w:p>
        </w:tc>
        <w:tc>
          <w:tcPr>
            <w:tcW w:w="3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20" w:type="dxa"/>
            <w:vAlign w:val="bottom"/>
            <w:gridSpan w:val="7"/>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71"/>
              </w:rPr>
              <w:t>39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840" w:type="dxa"/>
            <w:vAlign w:val="bottom"/>
            <w:gridSpan w:val="4"/>
          </w:tcPr>
          <w:p>
            <w:pPr>
              <w:spacing w:after="0"/>
              <w:rPr>
                <w:sz w:val="15"/>
                <w:szCs w:val="15"/>
                <w:color w:val="auto"/>
              </w:rPr>
            </w:pPr>
          </w:p>
        </w:tc>
        <w:tc>
          <w:tcPr>
            <w:tcW w:w="1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460" w:type="dxa"/>
            <w:vAlign w:val="bottom"/>
            <w:gridSpan w:val="14"/>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71"/>
              </w:rPr>
              <w:t>40</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94"/>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88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FF"/>
              </w:rPr>
              <w:t>OTHER INFORMATION</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1.</w:t>
            </w:r>
          </w:p>
        </w:tc>
        <w:tc>
          <w:tcPr>
            <w:tcW w:w="120" w:type="dxa"/>
            <w:vAlign w:val="bottom"/>
            <w:tcBorders>
              <w:top w:val="single" w:sz="8" w:color="0000FF"/>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20" w:type="dxa"/>
            <w:vAlign w:val="bottom"/>
            <w:tcBorders>
              <w:top w:val="single" w:sz="8" w:color="0000FF"/>
            </w:tcBorders>
            <w:gridSpan w:val="2"/>
          </w:tcPr>
          <w:p>
            <w:pPr>
              <w:spacing w:after="0"/>
              <w:rPr>
                <w:sz w:val="24"/>
                <w:szCs w:val="24"/>
                <w:color w:val="auto"/>
              </w:rPr>
            </w:pPr>
          </w:p>
        </w:tc>
        <w:tc>
          <w:tcPr>
            <w:tcW w:w="7280" w:type="dxa"/>
            <w:vAlign w:val="bottom"/>
            <w:gridSpan w:val="13"/>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71"/>
              </w:rPr>
              <w:t>41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1A.</w:t>
            </w:r>
          </w:p>
        </w:tc>
        <w:tc>
          <w:tcPr>
            <w:tcW w:w="88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80" w:type="dxa"/>
            <w:vAlign w:val="bottom"/>
          </w:tcPr>
          <w:p>
            <w:pPr>
              <w:spacing w:after="0"/>
              <w:rPr>
                <w:sz w:val="15"/>
                <w:szCs w:val="15"/>
                <w:color w:val="auto"/>
              </w:rPr>
            </w:pPr>
          </w:p>
        </w:tc>
        <w:tc>
          <w:tcPr>
            <w:tcW w:w="740" w:type="dxa"/>
            <w:vAlign w:val="bottom"/>
            <w:gridSpan w:val="2"/>
          </w:tcPr>
          <w:p>
            <w:pPr>
              <w:spacing w:after="0"/>
              <w:rPr>
                <w:sz w:val="15"/>
                <w:szCs w:val="15"/>
                <w:color w:val="auto"/>
              </w:rPr>
            </w:pPr>
          </w:p>
        </w:tc>
        <w:tc>
          <w:tcPr>
            <w:tcW w:w="3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40" w:type="dxa"/>
            <w:vAlign w:val="bottom"/>
            <w:gridSpan w:val="8"/>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71"/>
              </w:rPr>
              <w:t>66</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3.</w:t>
            </w:r>
          </w:p>
        </w:tc>
        <w:tc>
          <w:tcPr>
            <w:tcW w:w="88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67</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2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4.</w:t>
            </w:r>
          </w:p>
        </w:tc>
        <w:tc>
          <w:tcPr>
            <w:tcW w:w="14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20" w:type="dxa"/>
            <w:vAlign w:val="bottom"/>
            <w:tcBorders>
              <w:top w:val="single" w:sz="8" w:color="0000FF"/>
            </w:tcBorders>
            <w:gridSpan w:val="2"/>
          </w:tcPr>
          <w:p>
            <w:pPr>
              <w:spacing w:after="0"/>
              <w:rPr>
                <w:sz w:val="15"/>
                <w:szCs w:val="15"/>
                <w:color w:val="auto"/>
              </w:rPr>
            </w:pPr>
          </w:p>
        </w:tc>
        <w:tc>
          <w:tcPr>
            <w:tcW w:w="7040" w:type="dxa"/>
            <w:vAlign w:val="bottom"/>
            <w:gridSpan w:val="12"/>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67</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5.</w:t>
            </w:r>
          </w:p>
        </w:tc>
        <w:tc>
          <w:tcPr>
            <w:tcW w:w="820" w:type="dxa"/>
            <w:vAlign w:val="bottom"/>
            <w:gridSpan w:val="3"/>
          </w:tcPr>
          <w:p>
            <w:pPr>
              <w:spacing w:after="0"/>
              <w:rPr>
                <w:sz w:val="15"/>
                <w:szCs w:val="15"/>
                <w:color w:val="auto"/>
              </w:rPr>
            </w:pP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7820" w:type="dxa"/>
            <w:vAlign w:val="bottom"/>
            <w:gridSpan w:val="16"/>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71"/>
              </w:rPr>
              <w:t>67</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840" w:type="dxa"/>
            <w:vAlign w:val="bottom"/>
            <w:gridSpan w:val="4"/>
          </w:tcPr>
          <w:p>
            <w:pPr>
              <w:spacing w:after="0"/>
              <w:rPr>
                <w:sz w:val="15"/>
                <w:szCs w:val="15"/>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8380" w:type="dxa"/>
            <w:vAlign w:val="bottom"/>
            <w:gridSpan w:val="19"/>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71"/>
              </w:rPr>
              <w:t>68</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8260" w:type="dxa"/>
            <w:vAlign w:val="bottom"/>
            <w:gridSpan w:val="18"/>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71"/>
              </w:rPr>
              <w:t>69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73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80" w:type="dxa"/>
            <w:vAlign w:val="bottom"/>
            <w:gridSpan w:val="16"/>
          </w:tcPr>
          <w:p>
            <w:pPr>
              <w:ind w:left="434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 of public health emergencies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“expect,” “plan,” “anticipate,” “could,” “intend,” “target,” “project,” “contemplate,” “believe,” “estimate,” “predict,” “potential,” “seek,” “assume,” “future,” “continue” or “aim”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4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RISKS AFFECTING OUR BUSINESS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Below is a summary of the principal factors that make an investment in our common stock speculative or risky. This summary does not address all of the risks and uncertainties that we face. Additional discussion of the risks summarized in this risk factor summary, and other risks and uncertainties that we face, can be found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40"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meet our publicly announced guidance or other expectations about our business and future results of operations, which would cause our stock price to decline.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in which we operate is highly competitive, and, if we do not continue to compete effectively, our business, financial condition and results of operations could be harmed.</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the global economy or our industry could limit our ability to grow our business and negatively affect our results of operations.</w:t>
      </w:r>
    </w:p>
    <w:p>
      <w:pPr>
        <w:spacing w:after="0" w:line="16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1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new clients, our business, financial condition and results of operations would be adversely affected.</w:t>
      </w:r>
    </w:p>
    <w:p>
      <w:pPr>
        <w:spacing w:after="0" w:line="167"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change in the utilization of our fertility solutions, including the consumption rate or the mix of utilization, could have an adverse effect on our business, financial condition and results of operations.</w:t>
      </w:r>
    </w:p>
    <w:p>
      <w:pPr>
        <w:spacing w:after="0" w:line="13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with our current platform of solutions, which makes it difficult to predict our future results of operations.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benefits industry may be subject to negative publicity, which could adversely affect our business, financial condition and results of operations.</w:t>
      </w:r>
    </w:p>
    <w:p>
      <w:pPr>
        <w:spacing w:after="0" w:line="167"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130"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depends in part on the success of our strategic relationships with, and monitoring of, third parties, including channel partners and vendors as well as insurance carriers.</w:t>
      </w:r>
    </w:p>
    <w:p>
      <w:pPr>
        <w:spacing w:after="0" w:line="167"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regulated industry and must comply with a significant number of new and evolving legal and regulatory requirements, as well as complex judicial mandates.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part of the broader healthcare industry and subject to increasing scrutiny and regulation within our business, including with respect to Progyny Rx’s PBM operations, which may adversely affect our business, financial condition and results of operations.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the context otherwise indicates, references in this Quarterly Report on Form 10-Q to the terms “Progyny,” “the Company,” “we,” “our” and “us” refer to Progyny, Inc. and its wholly owned subsidiaries.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We announce material information to the public through filings with the SEC, our investor relations website at </w:t>
      </w:r>
      <w:r>
        <w:rPr>
          <w:rFonts w:ascii="Times New Roman" w:cs="Times New Roman" w:eastAsia="Times New Roman" w:hAnsi="Times New Roman"/>
          <w:sz w:val="14"/>
          <w:szCs w:val="14"/>
          <w:i w:val="1"/>
          <w:iCs w:val="1"/>
          <w:color w:val="auto"/>
        </w:rPr>
        <w:t>investors.progyny.com</w:t>
      </w:r>
      <w:r>
        <w:rPr>
          <w:rFonts w:ascii="Times New Roman" w:cs="Times New Roman" w:eastAsia="Times New Roman" w:hAnsi="Times New Roman"/>
          <w:sz w:val="14"/>
          <w:szCs w:val="14"/>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Pr>
          <w:p>
            <w:pPr>
              <w:spacing w:after="0"/>
              <w:rPr>
                <w:sz w:val="11"/>
                <w:szCs w:val="11"/>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8"/>
        </w:trPr>
        <w:tc>
          <w:tcPr>
            <w:tcW w:w="8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2"/>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162,314</w:t>
            </w:r>
          </w:p>
        </w:tc>
        <w:tc>
          <w:tcPr>
            <w:tcW w:w="0" w:type="dxa"/>
            <w:vAlign w:val="bottom"/>
          </w:tcPr>
          <w:p>
            <w:pPr>
              <w:spacing w:after="0"/>
              <w:rPr>
                <w:sz w:val="1"/>
                <w:szCs w:val="1"/>
                <w:color w:val="auto"/>
              </w:rPr>
            </w:pP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65,640</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 of $54,452 and $56,355 of allowance at June 30, 2025 and December 31, 2024, respectively</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235,324</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17,457</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9,443</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594,402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472,721</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12,383</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17,251</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15,534</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84,933</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0" w:type="dxa"/>
            <w:vAlign w:val="bottom"/>
          </w:tcPr>
          <w:p>
            <w:pPr>
              <w:spacing w:after="0"/>
              <w:rPr>
                <w:sz w:val="1"/>
                <w:szCs w:val="1"/>
                <w:color w:val="auto"/>
              </w:rPr>
            </w:pP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760,950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607,102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95,097</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79,906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73,530</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168,627</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noncurrent liabilities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16,413</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185,040</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4"/>
                <w:szCs w:val="14"/>
                <w:i w:val="1"/>
                <w:iCs w:val="1"/>
                <w:color w:val="auto"/>
              </w:rPr>
              <w:t>(Note 6)</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822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Common stock, $0.0001 par value; 1,000,000,000 shares authorized; at June 30, 2025 and December 31, 2024, respectively; 98,309,704 and</w:t>
            </w:r>
          </w:p>
        </w:tc>
        <w:tc>
          <w:tcPr>
            <w:tcW w:w="3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7"/>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97,692,891 shares issued; 85,927,511 and 85,310,698 outstanding at June 30, 2025 and December 31, 2024, respectively</w:t>
            </w:r>
          </w:p>
        </w:tc>
        <w:tc>
          <w:tcPr>
            <w:tcW w:w="3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642,206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581,596</w:t>
            </w:r>
          </w:p>
        </w:tc>
        <w:tc>
          <w:tcPr>
            <w:tcW w:w="0" w:type="dxa"/>
            <w:vAlign w:val="bottom"/>
          </w:tcPr>
          <w:p>
            <w:pPr>
              <w:spacing w:after="0"/>
              <w:rPr>
                <w:sz w:val="1"/>
                <w:szCs w:val="1"/>
                <w:color w:val="auto"/>
              </w:rPr>
            </w:pP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 at cost, $0.0001 par value; 12,998,173 and 12,998,173 shares at June 30, 2025 and December 31, 2024, respectively</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earnings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144,307</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515,022</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422,062</w:t>
            </w:r>
          </w:p>
        </w:tc>
        <w:tc>
          <w:tcPr>
            <w:tcW w:w="0" w:type="dxa"/>
            <w:vAlign w:val="bottom"/>
          </w:tcPr>
          <w:p>
            <w:pPr>
              <w:spacing w:after="0"/>
              <w:rPr>
                <w:sz w:val="1"/>
                <w:szCs w:val="1"/>
                <w:color w:val="auto"/>
              </w:rPr>
            </w:pP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760,950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607,102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1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332,874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304,087</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582,165</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1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253,901</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235,806</w:t>
            </w:r>
          </w:p>
        </w:tc>
        <w:tc>
          <w:tcPr>
            <w:tcW w:w="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502,144</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451,478</w:t>
            </w:r>
          </w:p>
        </w:tc>
        <w:tc>
          <w:tcPr>
            <w:tcW w:w="0" w:type="dxa"/>
            <w:vAlign w:val="bottom"/>
          </w:tcPr>
          <w:p>
            <w:pPr>
              <w:spacing w:after="0"/>
              <w:rPr>
                <w:sz w:val="1"/>
                <w:szCs w:val="1"/>
                <w:color w:val="auto"/>
              </w:rPr>
            </w:pPr>
          </w:p>
        </w:tc>
      </w:tr>
      <w:tr>
        <w:trPr>
          <w:trHeight w:val="19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78,973</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68,281</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154,768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130,687</w:t>
            </w: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31,875</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36,210</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31,173</w:t>
            </w:r>
          </w:p>
        </w:tc>
        <w:tc>
          <w:tcPr>
            <w:tcW w:w="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70,049</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59,602</w:t>
            </w: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54,615</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47,594</w:t>
            </w:r>
          </w:p>
        </w:tc>
        <w:tc>
          <w:tcPr>
            <w:tcW w:w="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106,240</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91,477</w:t>
            </w:r>
          </w:p>
        </w:tc>
        <w:tc>
          <w:tcPr>
            <w:tcW w:w="0" w:type="dxa"/>
            <w:vAlign w:val="bottom"/>
          </w:tcPr>
          <w:p>
            <w:pPr>
              <w:spacing w:after="0"/>
              <w:rPr>
                <w:sz w:val="1"/>
                <w:szCs w:val="1"/>
                <w:color w:val="auto"/>
              </w:rPr>
            </w:pPr>
          </w:p>
        </w:tc>
      </w:tr>
      <w:tr>
        <w:trPr>
          <w:trHeight w:val="192"/>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24,358</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20,687</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48,528</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39,210</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27,077</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25,067</w:t>
            </w:r>
          </w:p>
        </w:tc>
        <w:tc>
          <w:tcPr>
            <w:tcW w:w="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53,614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47,582</w:t>
            </w: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8,582</w:t>
            </w:r>
          </w:p>
        </w:tc>
        <w:tc>
          <w:tcPr>
            <w:tcW w:w="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21,443</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w:t>
            </w:r>
          </w:p>
        </w:tc>
        <w:tc>
          <w:tcPr>
            <w:tcW w:w="0" w:type="dxa"/>
            <w:vAlign w:val="bottom"/>
          </w:tcPr>
          <w:p>
            <w:pPr>
              <w:spacing w:after="0"/>
              <w:rPr>
                <w:sz w:val="1"/>
                <w:szCs w:val="1"/>
                <w:color w:val="auto"/>
              </w:rPr>
            </w:pPr>
          </w:p>
        </w:tc>
      </w:tr>
      <w:tr>
        <w:trPr>
          <w:trHeight w:val="198"/>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6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33,383</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10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6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6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income per share: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9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85,766,254</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93,868,409</w:t>
            </w:r>
          </w:p>
        </w:tc>
        <w:tc>
          <w:tcPr>
            <w:tcW w:w="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85,644,091</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95,160,085</w:t>
            </w:r>
          </w:p>
        </w:tc>
        <w:tc>
          <w:tcPr>
            <w:tcW w:w="0" w:type="dxa"/>
            <w:vAlign w:val="bottom"/>
          </w:tcPr>
          <w:p>
            <w:pPr>
              <w:spacing w:after="0"/>
              <w:rPr>
                <w:sz w:val="1"/>
                <w:szCs w:val="1"/>
                <w:color w:val="auto"/>
              </w:rPr>
            </w:pPr>
          </w:p>
        </w:tc>
      </w:tr>
      <w:tr>
        <w:trPr>
          <w:trHeight w:val="192"/>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89,638,677</w:t>
            </w: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97,839,576</w:t>
            </w: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89,507,906</w:t>
            </w: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99,456,335</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 of Comprehensive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60" w:type="dxa"/>
            <w:vAlign w:val="bottom"/>
          </w:tcPr>
          <w:p>
            <w:pPr>
              <w:spacing w:after="0"/>
              <w:rPr>
                <w:sz w:val="11"/>
                <w:szCs w:val="11"/>
                <w:color w:val="auto"/>
              </w:rPr>
            </w:pPr>
          </w:p>
        </w:tc>
      </w:tr>
      <w:tr>
        <w:trPr>
          <w:trHeight w:val="158"/>
        </w:trPr>
        <w:tc>
          <w:tcPr>
            <w:tcW w:w="50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r>
      <w:tr>
        <w:trPr>
          <w:trHeight w:val="160"/>
        </w:trPr>
        <w:tc>
          <w:tcPr>
            <w:tcW w:w="50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33,383</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(loss) gain on marketable securities before reclassifications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w:t>
            </w: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Reclassification of gains on the sale of marketable securities into net income</w:t>
            </w:r>
          </w:p>
        </w:tc>
        <w:tc>
          <w:tcPr>
            <w:tcW w:w="9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(5,118)</w:t>
            </w:r>
          </w:p>
        </w:tc>
      </w:tr>
      <w:tr>
        <w:trPr>
          <w:trHeight w:val="198"/>
        </w:trPr>
        <w:tc>
          <w:tcPr>
            <w:tcW w:w="50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change on unrealized gains on marketable securities</w:t>
            </w: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r>
      <w:tr>
        <w:trPr>
          <w:trHeight w:val="196"/>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r>
      <w:tr>
        <w:trPr>
          <w:trHeight w:val="19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9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17,220</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32,350</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32,589</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PROGYNY, INC.</w:t>
      </w:r>
    </w:p>
    <w:p>
      <w:pPr>
        <w:spacing w:after="0" w:line="8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Stockholders’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440" w:type="dxa"/>
            <w:vAlign w:val="bottom"/>
          </w:tcPr>
          <w:p>
            <w:pPr>
              <w:spacing w:after="0"/>
              <w:rPr>
                <w:sz w:val="11"/>
                <w:szCs w:val="11"/>
                <w:color w:val="auto"/>
              </w:rPr>
            </w:pPr>
          </w:p>
        </w:tc>
        <w:tc>
          <w:tcPr>
            <w:tcW w:w="1760" w:type="dxa"/>
            <w:vAlign w:val="bottom"/>
            <w:gridSpan w:val="3"/>
            <w:vMerge w:val="restart"/>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440" w:type="dxa"/>
            <w:vAlign w:val="bottom"/>
          </w:tcPr>
          <w:p>
            <w:pPr>
              <w:spacing w:after="0"/>
              <w:rPr>
                <w:sz w:val="9"/>
                <w:szCs w:val="9"/>
                <w:color w:val="auto"/>
              </w:rPr>
            </w:pPr>
          </w:p>
        </w:tc>
        <w:tc>
          <w:tcPr>
            <w:tcW w:w="176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ind w:left="120"/>
              <w:spacing w:after="0" w:line="95"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160" w:type="dxa"/>
            <w:vAlign w:val="bottom"/>
          </w:tcPr>
          <w:p>
            <w:pPr>
              <w:spacing w:after="0"/>
              <w:rPr>
                <w:sz w:val="9"/>
                <w:szCs w:val="9"/>
                <w:color w:val="auto"/>
              </w:rPr>
            </w:pPr>
          </w:p>
        </w:tc>
        <w:tc>
          <w:tcPr>
            <w:tcW w:w="98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Paid in</w:t>
            </w:r>
          </w:p>
        </w:tc>
        <w:tc>
          <w:tcPr>
            <w:tcW w:w="140" w:type="dxa"/>
            <w:vAlign w:val="bottom"/>
          </w:tcPr>
          <w:p>
            <w:pPr>
              <w:spacing w:after="0"/>
              <w:rPr>
                <w:sz w:val="9"/>
                <w:szCs w:val="9"/>
                <w:color w:val="auto"/>
              </w:rPr>
            </w:pPr>
          </w:p>
        </w:tc>
        <w:tc>
          <w:tcPr>
            <w:tcW w:w="102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9"/>
                <w:szCs w:val="9"/>
                <w:color w:val="auto"/>
              </w:rPr>
            </w:pPr>
          </w:p>
        </w:tc>
        <w:tc>
          <w:tcPr>
            <w:tcW w:w="124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440" w:type="dxa"/>
            <w:vAlign w:val="bottom"/>
          </w:tcPr>
          <w:p>
            <w:pPr>
              <w:spacing w:after="0"/>
              <w:rPr>
                <w:sz w:val="13"/>
                <w:szCs w:val="13"/>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40" w:type="dxa"/>
            <w:vAlign w:val="bottom"/>
          </w:tcPr>
          <w:p>
            <w:pPr>
              <w:spacing w:after="0"/>
              <w:rPr>
                <w:sz w:val="13"/>
                <w:szCs w:val="13"/>
                <w:color w:val="auto"/>
              </w:rPr>
            </w:pPr>
          </w:p>
        </w:tc>
        <w:tc>
          <w:tcPr>
            <w:tcW w:w="8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2"/>
        </w:trPr>
        <w:tc>
          <w:tcPr>
            <w:tcW w:w="34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2025:</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85,669,824</w:t>
            </w:r>
          </w:p>
        </w:tc>
        <w:tc>
          <w:tcPr>
            <w:tcW w:w="80" w:type="dxa"/>
            <w:vAlign w:val="bottom"/>
          </w:tcPr>
          <w:p>
            <w:pPr>
              <w:spacing w:after="0"/>
              <w:rPr>
                <w:sz w:val="13"/>
                <w:szCs w:val="13"/>
                <w:color w:val="auto"/>
              </w:rPr>
            </w:pPr>
          </w:p>
        </w:tc>
        <w:tc>
          <w:tcPr>
            <w:tcW w:w="740" w:type="dxa"/>
            <w:vAlign w:val="bottom"/>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(303,889)</w:t>
            </w:r>
          </w:p>
        </w:tc>
        <w:tc>
          <w:tcPr>
            <w:tcW w:w="8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611,563</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159,366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467,159</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employee equity awards, net of shares withheld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257,687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(2,430)</w:t>
            </w:r>
          </w:p>
        </w:tc>
        <w:tc>
          <w:tcPr>
            <w:tcW w:w="0" w:type="dxa"/>
            <w:vAlign w:val="bottom"/>
          </w:tcPr>
          <w:p>
            <w:pPr>
              <w:spacing w:after="0"/>
              <w:rPr>
                <w:sz w:val="1"/>
                <w:szCs w:val="1"/>
                <w:color w:val="auto"/>
              </w:rPr>
            </w:pPr>
          </w:p>
        </w:tc>
      </w:tr>
      <w:tr>
        <w:trPr>
          <w:trHeight w:val="160"/>
        </w:trPr>
        <w:tc>
          <w:tcPr>
            <w:tcW w:w="3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33,073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33,073</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income, net of tax</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0" w:type="dxa"/>
            <w:vAlign w:val="bottom"/>
          </w:tcPr>
          <w:p>
            <w:pPr>
              <w:spacing w:after="0"/>
              <w:rPr>
                <w:sz w:val="1"/>
                <w:szCs w:val="1"/>
                <w:color w:val="auto"/>
              </w:rPr>
            </w:pPr>
          </w:p>
        </w:tc>
      </w:tr>
      <w:tr>
        <w:trPr>
          <w:trHeight w:val="160"/>
        </w:trPr>
        <w:tc>
          <w:tcPr>
            <w:tcW w:w="3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17,112</w:t>
            </w:r>
          </w:p>
        </w:tc>
        <w:tc>
          <w:tcPr>
            <w:tcW w:w="0" w:type="dxa"/>
            <w:vAlign w:val="bottom"/>
          </w:tcPr>
          <w:p>
            <w:pPr>
              <w:spacing w:after="0"/>
              <w:rPr>
                <w:sz w:val="1"/>
                <w:szCs w:val="1"/>
                <w:color w:val="auto"/>
              </w:rPr>
            </w:pPr>
          </w:p>
        </w:tc>
      </w:tr>
      <w:tr>
        <w:trPr>
          <w:trHeight w:val="195"/>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85,927,511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(303,889)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642,206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176,478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515,022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2024:</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96,115,816</w:t>
            </w:r>
          </w:p>
        </w:tc>
        <w:tc>
          <w:tcPr>
            <w:tcW w:w="80" w:type="dxa"/>
            <w:vAlign w:val="bottom"/>
          </w:tcPr>
          <w:p>
            <w:pPr>
              <w:spacing w:after="0"/>
              <w:rPr>
                <w:sz w:val="13"/>
                <w:szCs w:val="13"/>
                <w:color w:val="auto"/>
              </w:rPr>
            </w:pPr>
          </w:p>
        </w:tc>
        <w:tc>
          <w:tcPr>
            <w:tcW w:w="740" w:type="dxa"/>
            <w:vAlign w:val="bottom"/>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(27,367)</w:t>
            </w:r>
          </w:p>
        </w:tc>
        <w:tc>
          <w:tcPr>
            <w:tcW w:w="8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489,343</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106,869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2,750</w:t>
            </w:r>
          </w:p>
        </w:tc>
        <w:tc>
          <w:tcPr>
            <w:tcW w:w="8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571,604</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employee equity awards, net of shares withheld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188,725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(2,992)</w:t>
            </w:r>
          </w:p>
        </w:tc>
        <w:tc>
          <w:tcPr>
            <w:tcW w:w="0" w:type="dxa"/>
            <w:vAlign w:val="bottom"/>
          </w:tcPr>
          <w:p>
            <w:pPr>
              <w:spacing w:after="0"/>
              <w:rPr>
                <w:sz w:val="1"/>
                <w:szCs w:val="1"/>
                <w:color w:val="auto"/>
              </w:rPr>
            </w:pPr>
          </w:p>
        </w:tc>
      </w:tr>
      <w:tr>
        <w:trPr>
          <w:trHeight w:val="160"/>
        </w:trPr>
        <w:tc>
          <w:tcPr>
            <w:tcW w:w="3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33,319</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(5,593,128)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(161,498)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(161,498)</w:t>
            </w:r>
          </w:p>
        </w:tc>
        <w:tc>
          <w:tcPr>
            <w:tcW w:w="0" w:type="dxa"/>
            <w:vAlign w:val="bottom"/>
          </w:tcPr>
          <w:p>
            <w:pPr>
              <w:spacing w:after="0"/>
              <w:rPr>
                <w:sz w:val="1"/>
                <w:szCs w:val="1"/>
                <w:color w:val="auto"/>
              </w:rPr>
            </w:pPr>
          </w:p>
        </w:tc>
      </w:tr>
      <w:tr>
        <w:trPr>
          <w:trHeight w:val="160"/>
        </w:trPr>
        <w:tc>
          <w:tcPr>
            <w:tcW w:w="3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loss, net of tax</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w:t>
            </w:r>
          </w:p>
        </w:tc>
        <w:tc>
          <w:tcPr>
            <w:tcW w:w="0" w:type="dxa"/>
            <w:vAlign w:val="bottom"/>
          </w:tcPr>
          <w:p>
            <w:pPr>
              <w:spacing w:after="0"/>
              <w:rPr>
                <w:sz w:val="1"/>
                <w:szCs w:val="1"/>
                <w:color w:val="auto"/>
              </w:rPr>
            </w:pPr>
          </w:p>
        </w:tc>
      </w:tr>
      <w:tr>
        <w:trPr>
          <w:trHeight w:val="17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16,485</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90,711,413</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(188,865)</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519,670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123,354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456,193</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2025:</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85,310,698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(303,889)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581,596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144,307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422,062</w:t>
            </w:r>
          </w:p>
        </w:tc>
        <w:tc>
          <w:tcPr>
            <w:tcW w:w="0" w:type="dxa"/>
            <w:vAlign w:val="bottom"/>
          </w:tcPr>
          <w:p>
            <w:pPr>
              <w:spacing w:after="0"/>
              <w:rPr>
                <w:sz w:val="1"/>
                <w:szCs w:val="1"/>
                <w:color w:val="auto"/>
              </w:rPr>
            </w:pPr>
          </w:p>
        </w:tc>
      </w:tr>
      <w:tr>
        <w:trPr>
          <w:trHeight w:val="160"/>
        </w:trPr>
        <w:tc>
          <w:tcPr>
            <w:tcW w:w="3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employee equity awards, net of shares withheld</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616,813</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(5,475)</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66,085</w:t>
            </w:r>
          </w:p>
        </w:tc>
        <w:tc>
          <w:tcPr>
            <w:tcW w:w="0" w:type="dxa"/>
            <w:vAlign w:val="bottom"/>
          </w:tcPr>
          <w:p>
            <w:pPr>
              <w:spacing w:after="0"/>
              <w:rPr>
                <w:sz w:val="1"/>
                <w:szCs w:val="1"/>
                <w:color w:val="auto"/>
              </w:rPr>
            </w:pPr>
          </w:p>
        </w:tc>
      </w:tr>
      <w:tr>
        <w:trPr>
          <w:trHeight w:val="160"/>
        </w:trPr>
        <w:tc>
          <w:tcPr>
            <w:tcW w:w="3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income, net of tax</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7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32,171</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85,927,511</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(303,889)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642,206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176,478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515,022</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2024:</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96,348,522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461,639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89,971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2,819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553,429</w:t>
            </w:r>
          </w:p>
        </w:tc>
        <w:tc>
          <w:tcPr>
            <w:tcW w:w="0" w:type="dxa"/>
            <w:vAlign w:val="bottom"/>
          </w:tcPr>
          <w:p>
            <w:pPr>
              <w:spacing w:after="0"/>
              <w:rPr>
                <w:sz w:val="1"/>
                <w:szCs w:val="1"/>
                <w:color w:val="auto"/>
              </w:rPr>
            </w:pPr>
          </w:p>
        </w:tc>
      </w:tr>
      <w:tr>
        <w:trPr>
          <w:trHeight w:val="160"/>
        </w:trPr>
        <w:tc>
          <w:tcPr>
            <w:tcW w:w="3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employee equity awards, net of shares withheld</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679,596</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(6,494)</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64,525</w:t>
            </w:r>
          </w:p>
        </w:tc>
        <w:tc>
          <w:tcPr>
            <w:tcW w:w="0" w:type="dxa"/>
            <w:vAlign w:val="bottom"/>
          </w:tcPr>
          <w:p>
            <w:pPr>
              <w:spacing w:after="0"/>
              <w:rPr>
                <w:sz w:val="1"/>
                <w:szCs w:val="1"/>
                <w:color w:val="auto"/>
              </w:rPr>
            </w:pPr>
          </w:p>
        </w:tc>
      </w:tr>
      <w:tr>
        <w:trPr>
          <w:trHeight w:val="160"/>
        </w:trPr>
        <w:tc>
          <w:tcPr>
            <w:tcW w:w="3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(6,316,705)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(187,856)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(187,856)</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 net of tax</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0" w:type="dxa"/>
            <w:vAlign w:val="bottom"/>
          </w:tcPr>
          <w:p>
            <w:pPr>
              <w:spacing w:after="0"/>
              <w:rPr>
                <w:sz w:val="1"/>
                <w:szCs w:val="1"/>
                <w:color w:val="auto"/>
              </w:rPr>
            </w:pPr>
          </w:p>
        </w:tc>
      </w:tr>
      <w:tr>
        <w:trPr>
          <w:trHeight w:val="160"/>
        </w:trPr>
        <w:tc>
          <w:tcPr>
            <w:tcW w:w="3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33,383</w:t>
            </w:r>
          </w:p>
        </w:tc>
        <w:tc>
          <w:tcPr>
            <w:tcW w:w="0" w:type="dxa"/>
            <w:vAlign w:val="bottom"/>
          </w:tcPr>
          <w:p>
            <w:pPr>
              <w:spacing w:after="0"/>
              <w:rPr>
                <w:sz w:val="1"/>
                <w:szCs w:val="1"/>
                <w:color w:val="auto"/>
              </w:rPr>
            </w:pPr>
          </w:p>
        </w:tc>
      </w:tr>
      <w:tr>
        <w:trPr>
          <w:trHeight w:val="195"/>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90,711,413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(188,865)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519,670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123,354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456,193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PROGYNY, INC.</w:t>
      </w:r>
    </w:p>
    <w:p>
      <w:pPr>
        <w:spacing w:after="0" w:line="8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8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i w:val="1"/>
          <w:iCs w:val="1"/>
          <w:color w:val="auto"/>
        </w:rPr>
        <w:t>(Unaudited)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p>
      <w:pPr>
        <w:spacing w:after="0" w:line="27"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1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32,171</w:t>
            </w:r>
          </w:p>
        </w:tc>
        <w:tc>
          <w:tcPr>
            <w:tcW w:w="8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33,383</w:t>
            </w: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Deferred tax expense</w:t>
            </w:r>
          </w:p>
        </w:tc>
        <w:tc>
          <w:tcPr>
            <w:tcW w:w="9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5,522</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Non-cash interest income</w:t>
            </w: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2,313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 on disposal of property and equipment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64,895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64,088</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Bad debt expense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9,572</w:t>
            </w: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accretion of discounts on marketable securities</w:t>
            </w:r>
          </w:p>
        </w:tc>
        <w:tc>
          <w:tcPr>
            <w:tcW w:w="9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(6,987)</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exchange rate loss</w:t>
            </w: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receivable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(47,166)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(61,496)</w:t>
            </w:r>
          </w:p>
        </w:tc>
      </w:tr>
      <w:tr>
        <w:trPr>
          <w:trHeight w:val="160"/>
        </w:trPr>
        <w:tc>
          <w:tcPr>
            <w:tcW w:w="8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9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w:t>
            </w:r>
          </w:p>
        </w:tc>
      </w:tr>
      <w:tr>
        <w:trPr>
          <w:trHeight w:val="17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45,207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26,396</w:t>
            </w:r>
          </w:p>
        </w:tc>
      </w:tr>
      <w:tr>
        <w:trPr>
          <w:trHeight w:val="160"/>
        </w:trPr>
        <w:tc>
          <w:tcPr>
            <w:tcW w:w="8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9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5,852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8,860</w:t>
            </w:r>
          </w:p>
        </w:tc>
      </w:tr>
      <w:tr>
        <w:trPr>
          <w:trHeight w:val="17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noncurrent assets and liabilities</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w:t>
            </w:r>
          </w:p>
        </w:tc>
      </w:tr>
      <w:tr>
        <w:trPr>
          <w:trHeight w:val="151"/>
        </w:trPr>
        <w:tc>
          <w:tcPr>
            <w:tcW w:w="8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9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105,318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82,426</w:t>
            </w:r>
          </w:p>
        </w:tc>
      </w:tr>
      <w:tr>
        <w:trPr>
          <w:trHeight w:val="222"/>
        </w:trPr>
        <w:tc>
          <w:tcPr>
            <w:tcW w:w="8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 of property and equipment, net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(1,716)</w:t>
            </w: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marketable securities</w:t>
            </w:r>
          </w:p>
        </w:tc>
        <w:tc>
          <w:tcPr>
            <w:tcW w:w="9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(200,088)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(158,639)</w:t>
            </w: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Sale of marketable securities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93,015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271,099</w:t>
            </w: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Acquisition of business, net of cash acquired</w:t>
            </w:r>
          </w:p>
        </w:tc>
        <w:tc>
          <w:tcPr>
            <w:tcW w:w="9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(9,340)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(5,304)</w:t>
            </w:r>
          </w:p>
        </w:tc>
      </w:tr>
      <w:tr>
        <w:trPr>
          <w:trHeight w:val="17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cash (used in) provided by investing activities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(124,525)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105,440</w:t>
            </w:r>
          </w:p>
        </w:tc>
      </w:tr>
      <w:tr>
        <w:trPr>
          <w:trHeight w:val="212"/>
        </w:trPr>
        <w:tc>
          <w:tcPr>
            <w:tcW w:w="8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9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(183,723)</w:t>
            </w: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w:t>
            </w: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 of employee taxes related to equity awards</w:t>
            </w:r>
          </w:p>
        </w:tc>
        <w:tc>
          <w:tcPr>
            <w:tcW w:w="9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(8,172)</w:t>
            </w: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contributions to employee stock purchase plan</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w:t>
            </w:r>
          </w:p>
        </w:tc>
      </w:tr>
      <w:tr>
        <w:trPr>
          <w:trHeight w:val="151"/>
        </w:trPr>
        <w:tc>
          <w:tcPr>
            <w:tcW w:w="8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9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(190,200)</w:t>
            </w: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1"/>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decrease in cash, cash equivalents, and restricted cash</w:t>
            </w:r>
          </w:p>
        </w:tc>
        <w:tc>
          <w:tcPr>
            <w:tcW w:w="9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(2,336)</w:t>
            </w: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162,314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97,296</w:t>
            </w:r>
          </w:p>
        </w:tc>
      </w:tr>
      <w:tr>
        <w:trPr>
          <w:trHeight w:val="17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137,542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94,960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8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940" w:type="dxa"/>
            <w:vAlign w:val="bottom"/>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132,506</w:t>
            </w:r>
          </w:p>
        </w:tc>
        <w:tc>
          <w:tcPr>
            <w:tcW w:w="8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94,960</w:t>
            </w: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included within noncurrent assets</w:t>
            </w: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5,036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137,542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94,960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8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income taxes, net of refunds received</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24,342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17,317</w:t>
            </w: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INVESTING AND FINANCING ACTIVITIES</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Additions of property and equipment, net included in accounts payable and accrued expenses</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62" w:lineRule="exact"/>
        <w:rPr>
          <w:sz w:val="20"/>
          <w:szCs w:val="20"/>
          <w:color w:val="auto"/>
        </w:rPr>
      </w:pPr>
    </w:p>
    <w:p>
      <w:pPr>
        <w:ind w:left="520" w:hanging="515"/>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and Basis of Presentation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Progyny, Inc. (together with its subsidiaries referred to as “Progyny” or the “Company”) was incorporated in the state of Delaware on April 3, 2008, and maintains its corporate headquarters in New York, NY.</w:t>
      </w:r>
    </w:p>
    <w:p>
      <w:pPr>
        <w:spacing w:after="0" w:line="12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Progyny is a benefits management company specializing in fertility, family building and women's health benefits solutions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client success teams, and end-to-end comprehensive concierge member support provided by Progyny’s in-house staff of Progyny Care Advocates (“PCAs”) (collectively, the “care management services”).</w:t>
      </w:r>
    </w:p>
    <w:p>
      <w:pPr>
        <w:spacing w:after="0" w:line="14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The Company enhanced its benefits solution offerings with the launch of its pharmacy benefits solution, Progyny Rx,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Progyny Rx is only available as an add-on service to the fertility benefits solution.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June 30, 2025, the results of the Company's operations for the three and six months ended June 30, 2025 and 2024 and the results of the Company's cash flows for the six months ended June 30, 2025 and 2024. Therefore, these unaudited consolidated financial statements should be read in conjunction with the audited consolidated financial statements and related footnotes included in the Company’s Annual Report on Form 10-K for the fiscal year ended December 31, 2024, filed with the SEC on March 3, 2025 (the “Annual Report on Form 10-K”).</w:t>
      </w:r>
    </w:p>
    <w:p>
      <w:pPr>
        <w:spacing w:after="0" w:line="168"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The results for the three and six months ended June 30, 2025 are not necessarily indicative of the operating results expected for the year ending December 31, 2025 or any other future period. The Company will continue to assess these potential impacts to its business and will make adjustments to its operations as necessary.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hanging="515"/>
        <w:spacing w:after="0"/>
        <w:tabs>
          <w:tab w:leader="none" w:pos="5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Significant Accounting Policies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the Company’s significant accounting policies as compared to the significant accounting policies described in Note 2 of the Company’s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applies the following five-step model to recognize revenue from contracts with clients:</w:t>
      </w:r>
    </w:p>
    <w:p>
      <w:pPr>
        <w:spacing w:after="0" w:line="179"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or contracts, with a client;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a performance obligation is satisfied.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Progyny’s contracts typically have a stated term of three years and include contractual termination options after the first year, allowing the client to terminate the contract with 30 to 90 days’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Fertility Benefits Solution Revenue</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31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Progyny’s contracts include the following sources of consideration, which are all variable: a per employee per month (“PEPM”) administration fee (in most, but not all contracts), and a fixed rate per Smart Cycle. The PEPM administration fee is estimated using the expected value method and is allocated between the fertility benefits solution and the pharmacy benefits solution based on standalone selling price, estimated using an expected cost-plus margin method. The fixed rate per Smart Cycle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fertility benefits services provided. As a result, the fixed rate per Smart Cycle is included in the transaction price for the fertility benefits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using the expected value method and recognizes the amounts allocated to the fertility benefits solution ratably over the contract term. Progyny’s estimates of service level agreement refunds have not historically resulted in significant adjustments to the transaction price. There is no constraint on variable consideration within Progyny’s fertility benefits contracts.</w:t>
      </w:r>
    </w:p>
    <w:p>
      <w:pPr>
        <w:spacing w:after="0" w:line="3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recognizes revenue for its fertility benefit solution in the period in which the Smart Cycle services are provided to the member. The services provided in a reporting period are based on actual claims received from the provider clinic and an estimate of services provided but for which a claim has not been received at the end of the reporting period, which we refer to as accrued receivables, and is discussed in further detail below.</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2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Pharmacy Benefits Solution Revenue</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4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fixed fee per fertility drug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 There is no constraint on variable consideration within Progyny’s pharmacy benefits contracts.</w:t>
      </w:r>
    </w:p>
    <w:p>
      <w:pPr>
        <w:spacing w:after="0" w:line="14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4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June 30, 2025 and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Receivables and Accrued Claims Payable</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June 30, 2025 and December 31, 2024, accrued receivables were $61.0 million and $45.6 million, respectively. Accrued receivables are included within accounts receivable in the consolidated balance sheet.</w:t>
      </w:r>
    </w:p>
    <w:p>
      <w:pPr>
        <w:spacing w:after="0" w:line="12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Accrued claims payable of $38.1 million and $32.1 million as of June 30, 2025 and December 31, 2024, respectively, are included within accrued expenses and other current liabilities in the consolidated balance sheet. Claims payable are generally paid within 30 days based on contractual terms.</w:t>
      </w:r>
    </w:p>
    <w:p>
      <w:pPr>
        <w:spacing w:after="0" w:line="12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June 30, 2025 and December 31, 2024, unbilled receivables, which represent claims received and approved but unbilled at the end of the reporting period, were $49.2 million and $47.0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Doubtful Accounts</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of losses, current economic conditions, and reasonable and supportable forecasts of future economic conditions in order to develop loss rates for each of its receivable pools. An allowance for credit losses is applied at the time the asset is recognized, including to current or not yet due amounts, based on the Company’s estimated loss rates which consider the migration of receivables from current to aged and collection rates associated with receivables that are delinquent. Expected credit losses are recorded as general and administrative expenses on the consolidated statements of operations. The Company records write-offs, as a deduction from the allowance for doubtful accounts, in the period in which its receivables are deemed uncollectible, which is when all efforts of collection have been exhausted or it is no longer pursuing collection of the receivable, and can take up to several years from the initial billing based on the nature of the Company’s receivables, which consist of a high volume of low dollar balances, particularly on the member receivable pool. The following table provides a summary of the activity in this allowance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Charged</w:t>
            </w: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Balance</w:t>
            </w:r>
          </w:p>
        </w:tc>
      </w:tr>
      <w:tr>
        <w:trPr>
          <w:trHeight w:val="127"/>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Beginning</w:t>
            </w: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to Costs</w:t>
            </w: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at End</w:t>
            </w:r>
          </w:p>
        </w:tc>
      </w:tr>
      <w:tr>
        <w:trPr>
          <w:trHeight w:val="16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Six Months Ended June 30, 2025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and Expenses</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Write-offs</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of Period</w:t>
            </w:r>
          </w:p>
        </w:tc>
      </w:tr>
      <w:tr>
        <w:trPr>
          <w:trHeight w:val="202"/>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54,452</w:t>
            </w: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Fertility Benefits Services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Pharmacy Benefits Services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Vendor Rebates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Vendor rebates are included within accounts receivable in the consolidated balance sheet. The effect of adjustments resulting from the reconciliation of rebates recognized to the amounts billed and collected has not been material to the Company’s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The standard is intended to provide a better understanding of an entity's overall performance and business activities through improved disclosure about an entity's reportable segments, including more detailed information about reportable segment expenses. The Company adopted this standard in the annual period beginning January 1, 2024 and applied the disclosure requirements retrospectively to all prior periods presented in the financial statements. The adoption of this standard did not have a material impact on the Company's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Pronouncements Issued but Not Yet Adopted</w:t>
      </w:r>
    </w:p>
    <w:p>
      <w:pPr>
        <w:spacing w:after="0" w:line="1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The standard is intended to enhance the transparency and decision usefulness of income tax disclosures primarily through changes to the rate reconciliation and income taxes paid information. The new standard will be effective for the Company for the fiscal year beginning January 1, 2025. While the new standard does require further disaggregation of the income tax footnote, the Company currently does not expect the adoption of the new standard to have a material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 Disaggregation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Statement Expenses</w:t>
      </w:r>
      <w:r>
        <w:rPr>
          <w:rFonts w:ascii="Times New Roman" w:cs="Times New Roman" w:eastAsia="Times New Roman" w:hAnsi="Times New Roman"/>
          <w:sz w:val="14"/>
          <w:szCs w:val="14"/>
          <w:color w:val="auto"/>
        </w:rPr>
        <w:t>. The standard is intended to provide enhanced transparency into the nature of expenses and requires more detailed information on specific expense categories (purchases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inventory, employee compensation, depreciation, and intangible asset amortization) included in certain expense captions presented on the face of the income statement. The new standard will be effective for the Company for the fiscal year beginning January 1, 2027, and for interim periods within the fiscal year beginning January 1, 2028. Early adoption is permitted. The amendments may be applied either 1) prospectively to financial statements issued for reporting periods after the effective date of this ASU or 2) retrospectively to all periods presented in the financial statements. The Company is currently evaluating the impact of the new standard including the impact on its disclosures.</w:t>
      </w:r>
    </w:p>
    <w:p>
      <w:pPr>
        <w:spacing w:after="0" w:line="14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Financial Instruments - Credit Losses (Topic 326) - Measurement of Credit Losses for Accounts Receivable and Contract Assets.</w:t>
      </w:r>
      <w:r>
        <w:rPr>
          <w:rFonts w:ascii="Times New Roman" w:cs="Times New Roman" w:eastAsia="Times New Roman" w:hAnsi="Times New Roman"/>
          <w:sz w:val="14"/>
          <w:szCs w:val="14"/>
          <w:color w:val="auto"/>
        </w:rPr>
        <w:t xml:space="preserve"> The amendment in ASU 2025-05 provides entities with a practical expedient to simplify the estimation of expected credit losses by assuming that the current conditions as of the balance sheet date will not change for the remaining life of the asset. The new standard will be effective for the Company for the fiscal year, including interim periods, beginning January 1, 2026. Early adoption is permitted and this amendment is applied prospectively. The Company is currently evaluating the impact of the new standard on its consolidated financial statements.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3.</w:t>
            </w:r>
          </w:p>
        </w:tc>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0" w:type="dxa"/>
            <w:vAlign w:val="bottom"/>
          </w:tcPr>
          <w:p>
            <w:pPr>
              <w:spacing w:after="0"/>
              <w:rPr>
                <w:sz w:val="24"/>
                <w:szCs w:val="24"/>
                <w:color w:val="auto"/>
              </w:rPr>
            </w:pPr>
          </w:p>
        </w:tc>
        <w:tc>
          <w:tcPr>
            <w:tcW w:w="4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The following table disaggregates revenue by service (in thousands):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Fertility benefits services revenue</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213,943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193,563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420,348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363,332</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Pharmacy benefits services revenue</w:t>
            </w:r>
          </w:p>
        </w:tc>
        <w:tc>
          <w:tcPr>
            <w:tcW w:w="1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118,931</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110,524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236,564</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218,833</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582,165</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20" w:type="dxa"/>
            <w:vAlign w:val="bottom"/>
            <w:tcBorders>
              <w:bottom w:val="single" w:sz="8" w:color="9A9A9A"/>
            </w:tcBorders>
          </w:tcPr>
          <w:p>
            <w:pPr>
              <w:spacing w:after="0"/>
              <w:rPr>
                <w:sz w:val="7"/>
                <w:szCs w:val="7"/>
                <w:color w:val="auto"/>
              </w:rPr>
            </w:pPr>
          </w:p>
        </w:tc>
        <w:tc>
          <w:tcPr>
            <w:tcW w:w="48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hanging="515"/>
        <w:spacing w:after="0"/>
        <w:tabs>
          <w:tab w:leader="none" w:pos="5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of Financial Instruments</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Unadjusted quoted prices in active markets that are accessible at the measurement date for identical assets or liabilities.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2 — Inputs, other than quoted prices in active markets, that are observable either directly or indirectly.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Prices or valuation techniques that require inputs that are both significant to the fair value of the asset or liability and supported by little or no market activity.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uses observable market data when available, and minimizes the use of unobservable inputs when determining fair value.</w:t>
      </w:r>
    </w:p>
    <w:p>
      <w:pPr>
        <w:spacing w:after="0" w:line="179"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4"/>
          <w:szCs w:val="14"/>
          <w:color w:val="auto"/>
        </w:rPr>
        <w:t>As of June 30, 2025 and December 31, 2024, the Company had $135.8 million and $167.7 million, respectively, in financial assets held in money market accounts and $172.6 million and $65.6 million, respectively, held in marketable securities, including U.S. treasury bills. All were classified as Level 1 in the fair value hierarchy. The Company measured these assets at fair value. The</w:t>
      </w:r>
    </w:p>
    <w:p>
      <w:pPr>
        <w:spacing w:after="0" w:line="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4"/>
          <w:szCs w:val="14"/>
          <w:color w:val="auto"/>
        </w:rPr>
        <w:t>Company classified these assets as Level 1 because the values of these assets are determined using unadjusted quoted prices in active markets for identical assets. For the three months ended June 30, 2025 and 2024, interest income on cash, cash equivalents, restricted cash, and marketable securities, including the accretion of discounts on investments, was $2.4 million and $0.8 million, respectively. For the six months ended June 30, 2025 and 2024, interest income on cash, cash equivalents, restricted cash, and marketable securities, including the accretion of discounts on investments, was $4.7 million and $1.4 million, respectively.</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June 30, 2025 and December 31, 2024, the Company did not maintain any assets or liabilities classified as Level 2 or Level 3 in the fair value hierarchy.</w:t>
      </w:r>
    </w:p>
    <w:p>
      <w:pPr>
        <w:spacing w:after="0" w:line="177"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September 2019, the Company’s sublease agreement for the 25,212 square foot office in its corporate headquarters commenced in New York, NY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February 2023, the Company's lease agreement for the additional 24,099 square foot office in its corporate offices (entered into in February 2022) commenced in New York, NY and expires in April 2036. Pursuant to the lease, the Company is obligated to pay the base rent of approximately $1.4 million per annum through the end of the fifth lease year and approximately $1.5 million per annum thereafter through the expiration date.</w:t>
      </w:r>
    </w:p>
    <w:p>
      <w:pPr>
        <w:spacing w:after="0" w:line="136"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4"/>
          <w:szCs w:val="14"/>
          <w:color w:val="auto"/>
        </w:rPr>
        <w:t>In March 2025, the Company's lease agreement for the additional 21,262 square foot office in its corporate offices (entered into in February 2022) commenced in New York, NY and expires in April 2036. In accordance with ASC 842, the Company recorded a right-of-use asset and a lease liability of $10.1 million and $10.0 million, respectively. Pursuant to the lease, the Company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obligated to pay the base rent of approximately $1.3 million per annum through the end of the fifth lease year and approximately $1.4 million per annum thereafter through the expiration date.</w:t>
      </w:r>
    </w:p>
    <w:p>
      <w:pPr>
        <w:spacing w:after="0" w:line="18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recognizes lease expense on a straight-line basis over the lease term. Lease expense for the three months ended June 30, 2025 and 2024 was $1.0 million and $0.7 million, respectively. For the six months ended June 30, 2025 and 2024, lease expense was $1.8 million and $1.3 million, respectively.</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outflows from operating activities attributable to the operating leases for the six months ended June 30, 2025 and 2024 was $1.5 million and $0.9 million, respectively.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related to the Company's leases is as follows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580" w:type="dxa"/>
            <w:vAlign w:val="bottom"/>
          </w:tcPr>
          <w:p>
            <w:pPr>
              <w:spacing w:after="0"/>
              <w:rPr>
                <w:sz w:val="13"/>
                <w:szCs w:val="13"/>
                <w:color w:val="auto"/>
              </w:rPr>
            </w:pPr>
          </w:p>
        </w:tc>
        <w:tc>
          <w:tcPr>
            <w:tcW w:w="4460" w:type="dxa"/>
            <w:vAlign w:val="bottom"/>
            <w:gridSpan w:val="2"/>
          </w:tcPr>
          <w:p>
            <w:pPr>
              <w:ind w:left="1620"/>
              <w:spacing w:after="0"/>
              <w:rPr>
                <w:sz w:val="20"/>
                <w:szCs w:val="20"/>
                <w:color w:val="auto"/>
              </w:rPr>
            </w:pPr>
            <w:r>
              <w:rPr>
                <w:rFonts w:ascii="Times New Roman" w:cs="Times New Roman" w:eastAsia="Times New Roman" w:hAnsi="Times New Roman"/>
                <w:sz w:val="11"/>
                <w:szCs w:val="11"/>
                <w:b w:val="1"/>
                <w:bCs w:val="1"/>
                <w:color w:val="auto"/>
              </w:rPr>
              <w:t>Balance Sheet Location</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66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40"/>
        </w:trPr>
        <w:tc>
          <w:tcPr>
            <w:tcW w:w="3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4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w:t>
            </w:r>
          </w:p>
        </w:tc>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26,423</w:t>
            </w:r>
          </w:p>
        </w:tc>
        <w:tc>
          <w:tcPr>
            <w:tcW w:w="102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17,251</w:t>
            </w: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liabilities</w:t>
            </w:r>
          </w:p>
        </w:tc>
        <w:tc>
          <w:tcPr>
            <w:tcW w:w="4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102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r>
      <w:tr>
        <w:trPr>
          <w:trHeight w:val="20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Operating lease noncurrent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25,505</w:t>
            </w:r>
          </w:p>
        </w:tc>
        <w:tc>
          <w:tcPr>
            <w:tcW w:w="102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16,413</w:t>
            </w:r>
          </w:p>
        </w:tc>
      </w:tr>
      <w:tr>
        <w:trPr>
          <w:trHeight w:val="212"/>
        </w:trPr>
        <w:tc>
          <w:tcPr>
            <w:tcW w:w="34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40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operating lease</w:t>
            </w:r>
          </w:p>
        </w:tc>
        <w:tc>
          <w:tcPr>
            <w:tcW w:w="4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years</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years</w:t>
            </w:r>
          </w:p>
        </w:tc>
      </w:tr>
      <w:tr>
        <w:trPr>
          <w:trHeight w:val="20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operating lease</w:t>
            </w:r>
          </w:p>
        </w:tc>
        <w:tc>
          <w:tcPr>
            <w:tcW w:w="4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403"/>
        </w:trPr>
        <w:tc>
          <w:tcPr>
            <w:tcW w:w="958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Future minimum facility lease payments related to the Company's operating lease liabilities as of June 30, 2025 were as follows (in thousands):</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Operating Lease Payments as of June 30, 2025</w:t>
            </w:r>
          </w:p>
        </w:tc>
        <w:tc>
          <w:tcPr>
            <w:tcW w:w="680" w:type="dxa"/>
            <w:vAlign w:val="bottom"/>
            <w:tcBorders>
              <w:bottom w:val="single" w:sz="8" w:color="auto"/>
            </w:tcBorders>
          </w:tcPr>
          <w:p>
            <w:pPr>
              <w:spacing w:after="0"/>
              <w:rPr>
                <w:sz w:val="24"/>
                <w:szCs w:val="24"/>
                <w:color w:val="auto"/>
              </w:rPr>
            </w:pPr>
          </w:p>
        </w:tc>
      </w:tr>
      <w:tr>
        <w:trPr>
          <w:trHeight w:val="20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0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w:t>
            </w:r>
          </w:p>
        </w:tc>
      </w:tr>
      <w:tr>
        <w:trPr>
          <w:trHeight w:val="20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w:t>
            </w:r>
          </w:p>
        </w:tc>
      </w:tr>
      <w:tr>
        <w:trPr>
          <w:trHeight w:val="20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w:t>
            </w: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0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18,430</w:t>
            </w:r>
          </w:p>
        </w:tc>
      </w:tr>
      <w:tr>
        <w:trPr>
          <w:trHeight w:val="19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40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36,193</w:t>
            </w: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40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7,564</w:t>
            </w:r>
          </w:p>
        </w:tc>
      </w:tr>
      <w:tr>
        <w:trPr>
          <w:trHeight w:val="19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0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28,629</w:t>
            </w: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operating lease liabilities</w:t>
            </w:r>
          </w:p>
        </w:tc>
        <w:tc>
          <w:tcPr>
            <w:tcW w:w="40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3,124</w:t>
            </w:r>
          </w:p>
        </w:tc>
      </w:tr>
      <w:tr>
        <w:trPr>
          <w:trHeight w:val="223"/>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noncurrent liabilities</w:t>
            </w:r>
          </w:p>
        </w:tc>
        <w:tc>
          <w:tcPr>
            <w:tcW w:w="40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February 2022 Lease Agreement</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noted above, the Company commenced its leases for the additional 24,099 square foot and 21,262 square foot offices in its corporate offices in New York, NY in February 2023 and March 2025, respectively, pursuant to a lease agreement entered into by the Company in February 2022. The lease agreement also provides for continued occupancy of the 25,212 square foot office after the expiration of the current sublease. For the current 25,212 square foot office, the Company is obligated to pay the base rent of approximately $1.6 million per year beginning in June 2029, which is the lease commencement, through April 2036, the expiration date.</w:t>
      </w:r>
    </w:p>
    <w:p>
      <w:pPr>
        <w:spacing w:after="0" w:line="138"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2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9480" w:firstLine="5"/>
        <w:spacing w:after="0" w:line="507" w:lineRule="auto"/>
        <w:tabs>
          <w:tab w:leader="none" w:pos="509" w:val="left"/>
        </w:tabs>
        <w:numPr>
          <w:ilvl w:val="0"/>
          <w:numId w:val="1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4"/>
          <w:szCs w:val="14"/>
          <w:b w:val="1"/>
          <w:bCs w:val="1"/>
          <w:color w:val="auto"/>
        </w:rPr>
        <w:t>Stockholders’ Equity Share Repurchase Program</w:t>
      </w:r>
    </w:p>
    <w:p>
      <w:pPr>
        <w:spacing w:after="0" w:line="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February 2024, the Company’s Board of Directors authorized a share repurchase program of up to $100 million in shares of common stock (the “February Share Repurchase Program”). In May 2024, the Company's Board of Directors authorized an additional share repurchase program of up to $100 million in shares of common stock (the “May Share Repurchase Program”). In August 2024, the Company's Board of Directors authorized an additional share repurchase program of up to $100 million in shares of common stock (the “August Share Repurchase Program,” and together with the February Share Repurchase Program and the May Share Repurchase Program, the ("2024 Share Repurchase Programs"). During the six months ended June 30, 2024, the Company repurchased a total of 6,316,705 shares of common stock under the 2024 Share Repurchase Programs for a total cost of $187.9 million, inclusive of excise taxes and trading fees, for an average price per share of $29.45. For the year ended December 31, 2024, the Company repurchased a total of 12,382,193 shares of common stock under the 2024 Share Repurchase Programs.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the year ended December 31, 2024, the 2024 Share Repurchase Programs were completed, and no amounts remained available for repurchase under the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which was included in the statements of operations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80" w:type="dxa"/>
            <w:vAlign w:val="bottom"/>
            <w:gridSpan w:val="3"/>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60" w:type="dxa"/>
            <w:vAlign w:val="bottom"/>
          </w:tcPr>
          <w:p>
            <w:pPr>
              <w:spacing w:after="0"/>
              <w:rPr>
                <w:sz w:val="11"/>
                <w:szCs w:val="11"/>
                <w:color w:val="auto"/>
              </w:rPr>
            </w:pPr>
          </w:p>
        </w:tc>
      </w:tr>
      <w:tr>
        <w:trPr>
          <w:trHeight w:val="158"/>
        </w:trPr>
        <w:tc>
          <w:tcPr>
            <w:tcW w:w="50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r>
      <w:tr>
        <w:trPr>
          <w:trHeight w:val="160"/>
        </w:trPr>
        <w:tc>
          <w:tcPr>
            <w:tcW w:w="50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9,542</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18,481</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8,184</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15,414</w:t>
            </w: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14,657</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29,896</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30,193</w:t>
            </w:r>
          </w:p>
        </w:tc>
      </w:tr>
      <w:tr>
        <w:trPr>
          <w:trHeight w:val="198"/>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32,383</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64,895</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64,088</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Accumulated other comprehensive income consisted of the following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1"/>
                <w:szCs w:val="11"/>
                <w:b w:val="1"/>
                <w:bCs w:val="1"/>
                <w:color w:val="auto"/>
              </w:rPr>
              <w:t>Three Months Ended June 30, 2025</w:t>
            </w:r>
          </w:p>
        </w:tc>
        <w:tc>
          <w:tcPr>
            <w:tcW w:w="8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jc w:val="center"/>
              <w:ind w:left="676"/>
              <w:spacing w:after="0"/>
              <w:rPr>
                <w:sz w:val="20"/>
                <w:szCs w:val="20"/>
                <w:color w:val="auto"/>
              </w:rPr>
            </w:pPr>
            <w:r>
              <w:rPr>
                <w:rFonts w:ascii="Times New Roman" w:cs="Times New Roman" w:eastAsia="Times New Roman" w:hAnsi="Times New Roman"/>
                <w:sz w:val="11"/>
                <w:szCs w:val="11"/>
                <w:b w:val="1"/>
                <w:bCs w:val="1"/>
                <w:color w:val="auto"/>
              </w:rPr>
              <w:t>Three Months Ended June 30, 2024</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Unrealized gains on</w:t>
            </w:r>
          </w:p>
        </w:tc>
        <w:tc>
          <w:tcPr>
            <w:tcW w:w="120" w:type="dxa"/>
            <w:vAlign w:val="bottom"/>
          </w:tcPr>
          <w:p>
            <w:pPr>
              <w:spacing w:after="0"/>
              <w:rPr>
                <w:sz w:val="9"/>
                <w:szCs w:val="9"/>
                <w:color w:val="auto"/>
              </w:rPr>
            </w:pPr>
          </w:p>
        </w:tc>
        <w:tc>
          <w:tcPr>
            <w:tcW w:w="112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Foreign currency</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Unrealized gains on</w:t>
            </w:r>
          </w:p>
        </w:tc>
        <w:tc>
          <w:tcPr>
            <w:tcW w:w="120" w:type="dxa"/>
            <w:vAlign w:val="bottom"/>
          </w:tcPr>
          <w:p>
            <w:pPr>
              <w:spacing w:after="0"/>
              <w:rPr>
                <w:sz w:val="9"/>
                <w:szCs w:val="9"/>
                <w:color w:val="auto"/>
              </w:rPr>
            </w:pPr>
          </w:p>
        </w:tc>
        <w:tc>
          <w:tcPr>
            <w:tcW w:w="112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Foreign currency</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320" w:type="dxa"/>
            <w:vAlign w:val="bottom"/>
          </w:tcPr>
          <w:p>
            <w:pPr>
              <w:spacing w:after="0"/>
              <w:rPr>
                <w:sz w:val="9"/>
                <w:szCs w:val="9"/>
                <w:color w:val="auto"/>
              </w:rPr>
            </w:pP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320" w:type="dxa"/>
            <w:vAlign w:val="bottom"/>
          </w:tcPr>
          <w:p>
            <w:pPr>
              <w:spacing w:after="0"/>
              <w:rPr>
                <w:sz w:val="9"/>
                <w:szCs w:val="9"/>
                <w:color w:val="auto"/>
              </w:rPr>
            </w:pPr>
          </w:p>
        </w:tc>
        <w:tc>
          <w:tcPr>
            <w:tcW w:w="820" w:type="dxa"/>
            <w:vAlign w:val="bottom"/>
            <w:vMerge w:val="restart"/>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marketable securities</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marketable securities</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0" w:type="dxa"/>
            <w:vAlign w:val="bottom"/>
          </w:tcPr>
          <w:p>
            <w:pPr>
              <w:spacing w:after="0"/>
              <w:rPr>
                <w:sz w:val="1"/>
                <w:szCs w:val="1"/>
                <w:color w:val="auto"/>
              </w:rPr>
            </w:pPr>
          </w:p>
        </w:tc>
      </w:tr>
      <w:tr>
        <w:trPr>
          <w:trHeight w:val="138"/>
        </w:trPr>
        <w:tc>
          <w:tcPr>
            <w:tcW w:w="40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comprehensive (loss) income before reclassifications, net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line="191" w:lineRule="exact"/>
              <w:rPr>
                <w:sz w:val="20"/>
                <w:szCs w:val="20"/>
                <w:color w:val="auto"/>
              </w:rPr>
            </w:pPr>
            <w:r>
              <w:rPr>
                <w:rFonts w:ascii="Times New Roman" w:cs="Times New Roman" w:eastAsia="Times New Roman" w:hAnsi="Times New Roman"/>
                <w:sz w:val="22"/>
                <w:szCs w:val="22"/>
                <w:color w:val="auto"/>
                <w:vertAlign w:val="subscript"/>
              </w:rPr>
              <w:t>tax</w:t>
            </w:r>
            <w:r>
              <w:rPr>
                <w:rFonts w:ascii="Times New Roman" w:cs="Times New Roman" w:eastAsia="Times New Roman" w:hAnsi="Times New Roman"/>
                <w:sz w:val="8"/>
                <w:szCs w:val="8"/>
                <w:color w:val="auto"/>
              </w:rPr>
              <w:t>(1)</w:t>
            </w:r>
          </w:p>
        </w:tc>
        <w:tc>
          <w:tcPr>
            <w:tcW w:w="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0" w:type="dxa"/>
            <w:vAlign w:val="bottom"/>
          </w:tcPr>
          <w:p>
            <w:pPr>
              <w:spacing w:after="0"/>
              <w:rPr>
                <w:sz w:val="1"/>
                <w:szCs w:val="1"/>
                <w:color w:val="auto"/>
              </w:rPr>
            </w:pPr>
          </w:p>
        </w:tc>
      </w:tr>
      <w:tr>
        <w:trPr>
          <w:trHeight w:val="138"/>
        </w:trPr>
        <w:tc>
          <w:tcPr>
            <w:tcW w:w="40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0" w:type="dxa"/>
            <w:vAlign w:val="bottom"/>
          </w:tcPr>
          <w:p>
            <w:pPr>
              <w:spacing w:after="0"/>
              <w:rPr>
                <w:sz w:val="1"/>
                <w:szCs w:val="1"/>
                <w:color w:val="auto"/>
              </w:rPr>
            </w:pPr>
          </w:p>
        </w:tc>
      </w:tr>
      <w:tr>
        <w:trPr>
          <w:trHeight w:val="191"/>
        </w:trPr>
        <w:tc>
          <w:tcPr>
            <w:tcW w:w="40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income, net of tax</w:t>
            </w:r>
            <w:r>
              <w:rPr>
                <w:rFonts w:ascii="Times New Roman" w:cs="Times New Roman" w:eastAsia="Times New Roman" w:hAnsi="Times New Roman"/>
                <w:sz w:val="18"/>
                <w:szCs w:val="18"/>
                <w:color w:val="auto"/>
                <w:vertAlign w:val="superscript"/>
              </w:rPr>
              <w:t>(3)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current period other comprehensive (loss) income</w:t>
            </w: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Borders>
              <w:bottom w:val="single" w:sz="8" w:color="auto"/>
            </w:tcBorders>
            <w:gridSpan w:val="6"/>
          </w:tcPr>
          <w:p>
            <w:pPr>
              <w:jc w:val="center"/>
              <w:ind w:left="821"/>
              <w:spacing w:after="0"/>
              <w:rPr>
                <w:sz w:val="20"/>
                <w:szCs w:val="20"/>
                <w:color w:val="auto"/>
              </w:rPr>
            </w:pPr>
            <w:r>
              <w:rPr>
                <w:rFonts w:ascii="Times New Roman" w:cs="Times New Roman" w:eastAsia="Times New Roman" w:hAnsi="Times New Roman"/>
                <w:sz w:val="11"/>
                <w:szCs w:val="11"/>
                <w:b w:val="1"/>
                <w:bCs w:val="1"/>
                <w:color w:val="auto"/>
              </w:rPr>
              <w:t>Six Months Ended June 30, 2025</w:t>
            </w: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736"/>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Unrealized gains on</w:t>
            </w:r>
          </w:p>
        </w:tc>
        <w:tc>
          <w:tcPr>
            <w:tcW w:w="120" w:type="dxa"/>
            <w:vAlign w:val="bottom"/>
          </w:tcPr>
          <w:p>
            <w:pPr>
              <w:spacing w:after="0"/>
              <w:rPr>
                <w:sz w:val="9"/>
                <w:szCs w:val="9"/>
                <w:color w:val="auto"/>
              </w:rPr>
            </w:pPr>
          </w:p>
        </w:tc>
        <w:tc>
          <w:tcPr>
            <w:tcW w:w="1120" w:type="dxa"/>
            <w:vAlign w:val="bottom"/>
            <w:gridSpan w:val="2"/>
          </w:tcPr>
          <w:p>
            <w:pPr>
              <w:jc w:val="center"/>
              <w:ind w:right="40"/>
              <w:spacing w:after="0" w:line="106" w:lineRule="exact"/>
              <w:rPr>
                <w:sz w:val="20"/>
                <w:szCs w:val="20"/>
                <w:color w:val="auto"/>
              </w:rPr>
            </w:pPr>
            <w:r>
              <w:rPr>
                <w:rFonts w:ascii="Times New Roman" w:cs="Times New Roman" w:eastAsia="Times New Roman" w:hAnsi="Times New Roman"/>
                <w:sz w:val="11"/>
                <w:szCs w:val="11"/>
                <w:b w:val="1"/>
                <w:bCs w:val="1"/>
                <w:color w:val="auto"/>
              </w:rPr>
              <w:t>Foreign currency</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Unrealized gains on</w:t>
            </w:r>
          </w:p>
        </w:tc>
        <w:tc>
          <w:tcPr>
            <w:tcW w:w="120" w:type="dxa"/>
            <w:vAlign w:val="bottom"/>
          </w:tcPr>
          <w:p>
            <w:pPr>
              <w:spacing w:after="0"/>
              <w:rPr>
                <w:sz w:val="9"/>
                <w:szCs w:val="9"/>
                <w:color w:val="auto"/>
              </w:rPr>
            </w:pPr>
          </w:p>
        </w:tc>
        <w:tc>
          <w:tcPr>
            <w:tcW w:w="1120" w:type="dxa"/>
            <w:vAlign w:val="bottom"/>
            <w:gridSpan w:val="2"/>
          </w:tcPr>
          <w:p>
            <w:pPr>
              <w:jc w:val="center"/>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Foreign currency</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320" w:type="dxa"/>
            <w:vAlign w:val="bottom"/>
          </w:tcPr>
          <w:p>
            <w:pPr>
              <w:spacing w:after="0"/>
              <w:rPr>
                <w:sz w:val="10"/>
                <w:szCs w:val="10"/>
                <w:color w:val="auto"/>
              </w:rPr>
            </w:pPr>
          </w:p>
        </w:tc>
        <w:tc>
          <w:tcPr>
            <w:tcW w:w="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320" w:type="dxa"/>
            <w:vAlign w:val="bottom"/>
          </w:tcPr>
          <w:p>
            <w:pPr>
              <w:spacing w:after="0"/>
              <w:rPr>
                <w:sz w:val="10"/>
                <w:szCs w:val="10"/>
                <w:color w:val="auto"/>
              </w:rPr>
            </w:pPr>
          </w:p>
        </w:tc>
        <w:tc>
          <w:tcPr>
            <w:tcW w:w="820" w:type="dxa"/>
            <w:vAlign w:val="bottom"/>
            <w:vMerge w:val="restart"/>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marketable securities</w:t>
            </w:r>
          </w:p>
        </w:tc>
        <w:tc>
          <w:tcPr>
            <w:tcW w:w="120" w:type="dxa"/>
            <w:vAlign w:val="bottom"/>
          </w:tcPr>
          <w:p>
            <w:pPr>
              <w:spacing w:after="0"/>
              <w:rPr>
                <w:sz w:val="12"/>
                <w:szCs w:val="12"/>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marketable securities</w:t>
            </w:r>
          </w:p>
        </w:tc>
        <w:tc>
          <w:tcPr>
            <w:tcW w:w="12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p>
      <w:pPr>
        <w:spacing w:after="0" w:line="17" w:lineRule="exact"/>
        <w:rPr>
          <w:sz w:val="20"/>
          <w:szCs w:val="20"/>
          <w:color w:val="auto"/>
        </w:rPr>
      </w:pPr>
    </w:p>
    <w:p>
      <w:pPr>
        <w:ind w:left="20"/>
        <w:spacing w:after="0"/>
        <w:tabs>
          <w:tab w:leader="none" w:pos="4100" w:val="left"/>
        </w:tabs>
        <w:rPr>
          <w:sz w:val="20"/>
          <w:szCs w:val="20"/>
          <w:color w:val="auto"/>
        </w:rPr>
      </w:pPr>
      <w:r>
        <w:rPr>
          <w:rFonts w:ascii="Times New Roman" w:cs="Times New Roman" w:eastAsia="Times New Roman" w:hAnsi="Times New Roman"/>
          <w:sz w:val="14"/>
          <w:szCs w:val="14"/>
          <w:color w:val="auto"/>
        </w:rPr>
        <w:t>Balance at beginning of period</w:t>
      </w:r>
      <w:r>
        <w:rPr>
          <w:sz w:val="20"/>
          <w:szCs w:val="20"/>
          <w:color w:val="auto"/>
        </w:rPr>
        <w:tab/>
      </w:r>
      <w:r>
        <w:rPr>
          <w:rFonts w:ascii="Times New Roman" w:cs="Times New Roman" w:eastAsia="Times New Roman" w:hAnsi="Times New Roman"/>
          <w:sz w:val="14"/>
          <w:szCs w:val="14"/>
          <w:color w:val="auto"/>
        </w:rPr>
        <w: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r>
        <w:rPr>
          <w:rFonts w:ascii="Times New Roman" w:cs="Times New Roman" w:eastAsia="Times New Roman" w:hAnsi="Times New Roman"/>
          <w:sz w:val="18"/>
          <w:szCs w:val="18"/>
          <w:color w:val="auto"/>
          <w:vertAlign w:val="superscript"/>
        </w:rPr>
        <w:t>(2)</w:t>
      </w:r>
    </w:p>
    <w:p>
      <w:pPr>
        <w:ind w:left="20" w:right="280"/>
        <w:spacing w:after="0" w:line="206" w:lineRule="auto"/>
        <w:rPr>
          <w:sz w:val="20"/>
          <w:szCs w:val="20"/>
          <w:color w:val="auto"/>
        </w:rPr>
      </w:pPr>
      <w:r>
        <w:rPr>
          <w:rFonts w:ascii="Times New Roman" w:cs="Times New Roman" w:eastAsia="Times New Roman" w:hAnsi="Times New Roman"/>
          <w:sz w:val="14"/>
          <w:szCs w:val="14"/>
          <w:color w:val="auto"/>
        </w:rPr>
        <w:t>Amounts reclassified from accumulated other comprehensive income, net of tax</w:t>
      </w:r>
      <w:r>
        <w:rPr>
          <w:rFonts w:ascii="Times New Roman" w:cs="Times New Roman" w:eastAsia="Times New Roman" w:hAnsi="Times New Roman"/>
          <w:sz w:val="18"/>
          <w:szCs w:val="18"/>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w:t>
            </w:r>
          </w:p>
        </w:tc>
        <w:tc>
          <w:tcPr>
            <w:tcW w:w="5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50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2,819</w:t>
            </w:r>
          </w:p>
        </w:tc>
      </w:tr>
      <w:tr>
        <w:trPr>
          <w:trHeight w:val="184"/>
        </w:trPr>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4"/>
              </w:rPr>
              <w:t>(67)</w:t>
            </w:r>
          </w:p>
        </w:tc>
        <w:tc>
          <w:tcPr>
            <w:tcW w:w="5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r>
      <w:tr>
        <w:trPr>
          <w:trHeight w:val="255"/>
        </w:trPr>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-160655</wp:posOffset>
            </wp:positionV>
            <wp:extent cx="7161530" cy="208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4260" w:space="720"/>
            <w:col w:w="6300"/>
          </w:cols>
          <w:pgMar w:left="300" w:top="231"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current period other comprehensive (loss) income</w:t>
            </w:r>
          </w:p>
        </w:tc>
        <w:tc>
          <w:tcPr>
            <w:tcW w:w="4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w:t>
            </w:r>
          </w:p>
        </w:tc>
      </w:tr>
      <w:tr>
        <w:trPr>
          <w:trHeight w:val="19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 w:lineRule="exact"/>
        <w:rPr>
          <w:sz w:val="20"/>
          <w:szCs w:val="20"/>
          <w:color w:val="auto"/>
        </w:rPr>
      </w:pPr>
    </w:p>
    <w:p>
      <w:pPr>
        <w:ind w:right="300" w:firstLine="5"/>
        <w:spacing w:after="0" w:line="238" w:lineRule="auto"/>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losses of $0.0 million, net of tax benefit of $0, for the three months ended June 30, 2025 and unrealized gains of $2.6 million, net of tax expense of $0.7 million, for the three months ended June 30, 2024.</w:t>
      </w:r>
    </w:p>
    <w:p>
      <w:pPr>
        <w:ind w:right="220" w:firstLine="5"/>
        <w:spacing w:after="0" w:line="245" w:lineRule="auto"/>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losses of $0.1 million, net of tax benefit of $0, for the six months ended June 30, 2025 and unrealized gains of $5.9 million, net of tax expense of $1.6 million, for the six months ended June 30, 2024.</w:t>
      </w:r>
    </w:p>
    <w:p>
      <w:pPr>
        <w:ind w:left="200" w:hanging="195"/>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on net income of amounts reclassified from accumulated other comprehensive income were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Details about Accumulated Other Comprehensive Income</w:t>
            </w:r>
          </w:p>
        </w:tc>
        <w:tc>
          <w:tcPr>
            <w:tcW w:w="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15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Component</w:t>
            </w:r>
          </w:p>
        </w:tc>
        <w:tc>
          <w:tcPr>
            <w:tcW w:w="300" w:type="dxa"/>
            <w:vAlign w:val="bottom"/>
          </w:tcPr>
          <w:p>
            <w:pPr>
              <w:spacing w:after="0"/>
              <w:rPr>
                <w:sz w:val="13"/>
                <w:szCs w:val="13"/>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tcPr>
          <w:p>
            <w:pPr>
              <w:ind w:left="420"/>
              <w:spacing w:after="0"/>
              <w:rPr>
                <w:sz w:val="20"/>
                <w:szCs w:val="20"/>
                <w:color w:val="auto"/>
              </w:rPr>
            </w:pPr>
            <w:r>
              <w:rPr>
                <w:rFonts w:ascii="Times New Roman" w:cs="Times New Roman" w:eastAsia="Times New Roman" w:hAnsi="Times New Roman"/>
                <w:sz w:val="11"/>
                <w:szCs w:val="11"/>
                <w:b w:val="1"/>
                <w:bCs w:val="1"/>
                <w:color w:val="auto"/>
              </w:rPr>
              <w:t>Affected Line Item in Statement of Operations</w:t>
            </w:r>
          </w:p>
        </w:tc>
      </w:tr>
      <w:tr>
        <w:trPr>
          <w:trHeight w:val="175"/>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marketable securities</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w:t>
            </w:r>
          </w:p>
        </w:tc>
        <w:tc>
          <w:tcPr>
            <w:tcW w:w="80" w:type="dxa"/>
            <w:vAlign w:val="bottom"/>
            <w:tcBorders>
              <w:top w:val="single" w:sz="8" w:color="CCEEFF"/>
            </w:tcBorders>
            <w:shd w:val="clear" w:color="auto" w:fill="CCEEFF"/>
          </w:tcPr>
          <w:p>
            <w:pPr>
              <w:spacing w:after="0"/>
              <w:rPr>
                <w:sz w:val="15"/>
                <w:szCs w:val="15"/>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 net</w:t>
            </w:r>
          </w:p>
        </w:tc>
      </w:t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6,988</w:t>
            </w:r>
          </w:p>
        </w:tc>
        <w:tc>
          <w:tcPr>
            <w:tcW w:w="8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r>
      <w:tr>
        <w:trPr>
          <w:trHeight w:val="180"/>
        </w:trPr>
        <w:tc>
          <w:tcPr>
            <w:tcW w:w="2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5,118</w:t>
            </w:r>
          </w:p>
        </w:tc>
        <w:tc>
          <w:tcPr>
            <w:tcW w:w="8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27" w:lineRule="exact"/>
        <w:rPr>
          <w:sz w:val="20"/>
          <w:szCs w:val="20"/>
          <w:color w:val="auto"/>
        </w:rPr>
      </w:pPr>
    </w:p>
    <w:p>
      <w:pPr>
        <w:ind w:left="520" w:hanging="515"/>
        <w:spacing w:after="0"/>
        <w:tabs>
          <w:tab w:leader="none" w:pos="52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For the six months ended June 30, 2025 and 2024,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six months ended June 30, 2025, the Company recorded a provision for income taxes of $21.4 million, primarily driven by the Company's operating profit and equity compensation activity that occurred during the period. During the</w:t>
      </w:r>
    </w:p>
    <w:p>
      <w:pPr>
        <w:spacing w:after="0" w:line="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six months ended June 30, 2024</w:t>
      </w:r>
      <w:r>
        <w:rPr>
          <w:rFonts w:ascii="Arial" w:cs="Arial" w:eastAsia="Arial" w:hAnsi="Arial"/>
          <w:sz w:val="16"/>
          <w:szCs w:val="16"/>
          <w:color w:val="auto"/>
        </w:rPr>
        <w:t>,</w:t>
      </w:r>
      <w:r>
        <w:rPr>
          <w:rFonts w:ascii="Times New Roman" w:cs="Times New Roman" w:eastAsia="Times New Roman" w:hAnsi="Times New Roman"/>
          <w:sz w:val="14"/>
          <w:szCs w:val="14"/>
          <w:color w:val="auto"/>
        </w:rPr>
        <w:t xml:space="preserve"> the Company recorded a provision for income taxes of $14.2 million, primarily driven by the Company's operating profit, partially offset by equity compensation activity that occurred during the period.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July 4, 2025, the One Big Beautiful Bill Act (the “OBBBA”) was signed into law. The OBBBA includes various changes to U.S. federal income tax law, including extensions of several expiring provisions from the Tax Cuts and Jobs Act of 2017. The OBBBA has multiple effective dates, with certain provisions effective in 2025. The Company is currently evaluating the impact the new law will have on its consolidated financial statements and will recognize any income tax effects beginning in the third quarter of 2025, which is the period the OBBBA was signed into law.</w:t>
      </w:r>
    </w:p>
    <w:p>
      <w:pPr>
        <w:spacing w:after="0" w:line="134" w:lineRule="exact"/>
        <w:rPr>
          <w:sz w:val="20"/>
          <w:szCs w:val="20"/>
          <w:color w:val="auto"/>
        </w:rPr>
      </w:pPr>
    </w:p>
    <w:p>
      <w:pPr>
        <w:ind w:left="540" w:hanging="535"/>
        <w:spacing w:after="0"/>
        <w:tabs>
          <w:tab w:leader="none" w:pos="54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January 8, 2025, the Company completed its acquisition of Benefit Bump LLC, a comprehensive parental leave benefits navigation program for new and growing families. The acquisition enhances the Company's existing offerings, extending its ability to further serve the needs of families on their journey from pregnancy to early childhood and beyond. The transaction was for a purchase price of $10.5 million, including $2.5 million held in escrow for standard indemnifications and the satisfaction of certain conditions. The transaction was accounted for using the acquisition method resulting in tangible and intangible assets acquired and liabilities assumed,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4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June 17, 2024, the Company completed its acquisition of Apryl GmbH, a Berlin-based fertility benefits platform, to expand its global offering. The transaction was for a purchase price of €5.1 million, or $5.5 million based on the exchange rate on the acquisition closing date, and was accounted for using the acquisition method. As a result, tangible and intangible assets acquired and liabilities assumed were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41"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Income Per Share</w:t>
      </w:r>
    </w:p>
    <w:p>
      <w:pPr>
        <w:spacing w:after="0" w:line="180"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Basic net income per share is calculated by dividing the net income by the weighted-average number of shares of common stock outstanding for the period.</w:t>
      </w:r>
    </w:p>
    <w:p>
      <w:pPr>
        <w:spacing w:after="0" w:line="17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reconciliation of net income and the number of shares in the calculation of basic and diluted net income per share is as follows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40" w:type="dxa"/>
            <w:vAlign w:val="bottom"/>
          </w:tcPr>
          <w:p>
            <w:pPr>
              <w:spacing w:after="0"/>
              <w:rPr>
                <w:sz w:val="11"/>
                <w:szCs w:val="11"/>
                <w:color w:val="auto"/>
              </w:rPr>
            </w:pPr>
          </w:p>
        </w:tc>
      </w:tr>
      <w:tr>
        <w:trPr>
          <w:trHeight w:val="158"/>
        </w:trPr>
        <w:tc>
          <w:tcPr>
            <w:tcW w:w="5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r>
      <w:tr>
        <w:trPr>
          <w:trHeight w:val="160"/>
        </w:trPr>
        <w:tc>
          <w:tcPr>
            <w:tcW w:w="5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net income per common share:</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6"/>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80" w:type="dxa"/>
            <w:vAlign w:val="bottom"/>
          </w:tcPr>
          <w:p>
            <w:pPr>
              <w:spacing w:after="0"/>
              <w:rPr>
                <w:sz w:val="17"/>
                <w:szCs w:val="17"/>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33,383</w:t>
            </w:r>
          </w:p>
        </w:tc>
      </w:tr>
      <w:tr>
        <w:trPr>
          <w:trHeight w:val="218"/>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6"/>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shares used in computing basic net income per share</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85,766,254</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93,868,409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85,644,091</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95,160,085</w:t>
            </w:r>
          </w:p>
        </w:tc>
      </w:tr>
      <w:tr>
        <w:trPr>
          <w:trHeight w:val="198"/>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net income per share</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0.35</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3"/>
        </w:trPr>
        <w:tc>
          <w:tcPr>
            <w:tcW w:w="5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6"/>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income per common share: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6"/>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80" w:type="dxa"/>
            <w:vAlign w:val="bottom"/>
          </w:tcPr>
          <w:p>
            <w:pPr>
              <w:spacing w:after="0"/>
              <w:rPr>
                <w:sz w:val="17"/>
                <w:szCs w:val="17"/>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Pr>
          <w:p>
            <w:pPr>
              <w:spacing w:after="0"/>
              <w:rPr>
                <w:sz w:val="17"/>
                <w:szCs w:val="17"/>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33,383</w:t>
            </w:r>
          </w:p>
        </w:tc>
      </w:tr>
      <w:tr>
        <w:trPr>
          <w:trHeight w:val="218"/>
        </w:trPr>
        <w:tc>
          <w:tcPr>
            <w:tcW w:w="5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6"/>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shares used in computing basic net income per share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85,766,254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93,868,409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85,644,091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95,160,085</w:t>
            </w:r>
          </w:p>
        </w:tc>
      </w:tr>
      <w:tr>
        <w:trPr>
          <w:trHeight w:val="196"/>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3,174,843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3,558,853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3,173,687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3,748,342</w:t>
            </w:r>
          </w:p>
        </w:tc>
      </w:tr>
      <w:tr>
        <w:trPr>
          <w:trHeight w:val="196"/>
        </w:trPr>
        <w:tc>
          <w:tcPr>
            <w:tcW w:w="5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Shares issuable under ESPP</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w:t>
            </w:r>
          </w:p>
        </w:tc>
      </w:tr>
      <w:tr>
        <w:trPr>
          <w:trHeight w:val="207"/>
        </w:trPr>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290,035</w:t>
            </w:r>
          </w:p>
        </w:tc>
      </w:tr>
      <w:tr>
        <w:trPr>
          <w:trHeight w:val="196"/>
        </w:trPr>
        <w:tc>
          <w:tcPr>
            <w:tcW w:w="5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Restricted stock units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696,196</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121,193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690,128</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253,350</w:t>
            </w:r>
          </w:p>
        </w:tc>
      </w:tr>
      <w:tr>
        <w:trPr>
          <w:trHeight w:val="19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effect of dilutive securities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3,872,423</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3,971,167</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3,863,815</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4,296,250</w:t>
            </w:r>
          </w:p>
        </w:tc>
      </w:tr>
      <w:tr>
        <w:trPr>
          <w:trHeight w:val="192"/>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Weighted-average shares used in computing diluted net income per share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89,638,677</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97,839,576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89,507,906</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99,456,335</w:t>
            </w:r>
          </w:p>
        </w:tc>
      </w:tr>
      <w:tr>
        <w:trPr>
          <w:trHeight w:val="223"/>
        </w:trPr>
        <w:tc>
          <w:tcPr>
            <w:tcW w:w="5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 net income per share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80" w:type="dxa"/>
            <w:vAlign w:val="bottom"/>
          </w:tcPr>
          <w:p>
            <w:pPr>
              <w:spacing w:after="0"/>
              <w:rPr>
                <w:sz w:val="11"/>
                <w:szCs w:val="11"/>
                <w:color w:val="auto"/>
              </w:rPr>
            </w:pPr>
          </w:p>
        </w:tc>
        <w:tc>
          <w:tcPr>
            <w:tcW w:w="2120" w:type="dxa"/>
            <w:vAlign w:val="bottom"/>
            <w:gridSpan w:val="3"/>
          </w:tcPr>
          <w:p>
            <w:pPr>
              <w:jc w:val="center"/>
              <w:ind w:left="875"/>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3"/>
          </w:tcPr>
          <w:p>
            <w:pPr>
              <w:jc w:val="center"/>
              <w:ind w:left="895"/>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60" w:type="dxa"/>
            <w:vAlign w:val="bottom"/>
          </w:tcPr>
          <w:p>
            <w:pPr>
              <w:spacing w:after="0"/>
              <w:rPr>
                <w:sz w:val="11"/>
                <w:szCs w:val="11"/>
                <w:color w:val="auto"/>
              </w:rPr>
            </w:pPr>
          </w:p>
        </w:tc>
      </w:tr>
      <w:tr>
        <w:trPr>
          <w:trHeight w:val="158"/>
        </w:trPr>
        <w:tc>
          <w:tcPr>
            <w:tcW w:w="5080" w:type="dxa"/>
            <w:vAlign w:val="bottom"/>
          </w:tcPr>
          <w:p>
            <w:pPr>
              <w:spacing w:after="0"/>
              <w:rPr>
                <w:sz w:val="13"/>
                <w:szCs w:val="13"/>
                <w:color w:val="auto"/>
              </w:rPr>
            </w:pPr>
          </w:p>
        </w:tc>
        <w:tc>
          <w:tcPr>
            <w:tcW w:w="2120" w:type="dxa"/>
            <w:vAlign w:val="bottom"/>
            <w:tcBorders>
              <w:bottom w:val="single" w:sz="8" w:color="auto"/>
            </w:tcBorders>
            <w:gridSpan w:val="3"/>
          </w:tcPr>
          <w:p>
            <w:pPr>
              <w:jc w:val="center"/>
              <w:ind w:left="89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Borders>
              <w:bottom w:val="single" w:sz="8" w:color="auto"/>
            </w:tcBorders>
            <w:gridSpan w:val="3"/>
          </w:tcPr>
          <w:p>
            <w:pPr>
              <w:jc w:val="center"/>
              <w:ind w:left="91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r>
      <w:tr>
        <w:trPr>
          <w:trHeight w:val="160"/>
        </w:trPr>
        <w:tc>
          <w:tcPr>
            <w:tcW w:w="50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15,199,884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13,667,019</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15,207,450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13,111,238</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issuable under ESPP</w:t>
            </w:r>
          </w:p>
        </w:tc>
        <w:tc>
          <w:tcPr>
            <w:tcW w:w="21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1,759,928</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2,442,920</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1,810,438</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1,558,562</w:t>
            </w:r>
          </w:p>
        </w:tc>
      </w:tr>
      <w:tr>
        <w:trPr>
          <w:trHeight w:val="198"/>
        </w:trPr>
        <w:tc>
          <w:tcPr>
            <w:tcW w:w="5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16,959,812</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16,109,939</w:t>
            </w:r>
          </w:p>
        </w:tc>
        <w:tc>
          <w:tcPr>
            <w:tcW w:w="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17,018,821</w:t>
            </w: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14,669,800</w:t>
            </w:r>
          </w:p>
        </w:tc>
      </w:tr>
      <w:tr>
        <w:trPr>
          <w:trHeight w:val="20"/>
        </w:trPr>
        <w:tc>
          <w:tcPr>
            <w:tcW w:w="5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03"/>
        </w:trPr>
        <w:tc>
          <w:tcPr>
            <w:tcW w:w="5080" w:type="dxa"/>
            <w:vAlign w:val="bottom"/>
          </w:tcPr>
          <w:p>
            <w:pPr>
              <w:spacing w:after="0"/>
              <w:rPr>
                <w:sz w:val="24"/>
                <w:szCs w:val="24"/>
                <w:color w:val="auto"/>
              </w:rPr>
            </w:pPr>
          </w:p>
        </w:tc>
        <w:tc>
          <w:tcPr>
            <w:tcW w:w="1500" w:type="dxa"/>
            <w:vAlign w:val="bottom"/>
          </w:tcPr>
          <w:p>
            <w:pPr>
              <w:jc w:val="right"/>
              <w:ind w:right="795"/>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6"/>
        </w:trPr>
        <w:tc>
          <w:tcPr>
            <w:tcW w:w="50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hanging="495"/>
        <w:spacing w:after="0"/>
        <w:tabs>
          <w:tab w:leader="none" w:pos="50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Progyny is a benefits management company specializing in fertility, family building and women's health benefits solutions. Substantially, all of the Company's revenues and assets are attributable to the United States.</w:t>
      </w:r>
    </w:p>
    <w:p>
      <w:pPr>
        <w:spacing w:after="0" w:line="124"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 chief operating decision maker (“CODM”) is the Chief Executive Officer. The Company determined it has one operating segment and one reportable segment, as the CODM manages the business and evaluates performance at the consolidated level.</w:t>
      </w:r>
    </w:p>
    <w:p>
      <w:pPr>
        <w:spacing w:after="0" w:line="14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color w:val="auto"/>
        </w:rPr>
        <w:t>The CODM uses net income to allocate resources (including personnel, technology, and capital resources) for the single segment to make decisions regarding the annual budget, ongoing operations, and strategic investments to drive the Company's strategy and mission.</w:t>
      </w:r>
    </w:p>
    <w:tbl>
      <w:tblPr>
        <w:tblLayout w:type="fixed"/>
        <w:tblInd w:w="0" w:type="dxa"/>
        <w:tblCellMar>
          <w:top w:w="0" w:type="dxa"/>
          <w:left w:w="0" w:type="dxa"/>
          <w:bottom w:w="0" w:type="dxa"/>
          <w:right w:w="0" w:type="dxa"/>
        </w:tblCellMar>
      </w:tblPr>
      <w:tr>
        <w:trPr>
          <w:trHeight w:val="117"/>
        </w:trPr>
        <w:tc>
          <w:tcPr>
            <w:tcW w:w="5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gridSpan w:val="3"/>
          </w:tcPr>
          <w:p>
            <w:pPr>
              <w:jc w:val="right"/>
              <w:ind w:right="49"/>
              <w:spacing w:after="0" w:line="118" w:lineRule="exact"/>
              <w:rPr>
                <w:sz w:val="20"/>
                <w:szCs w:val="20"/>
                <w:color w:val="auto"/>
              </w:rPr>
            </w:pPr>
            <w:r>
              <w:rPr>
                <w:rFonts w:ascii="Times New Roman" w:cs="Times New Roman" w:eastAsia="Times New Roman" w:hAnsi="Times New Roman"/>
                <w:sz w:val="11"/>
                <w:szCs w:val="11"/>
                <w:b w:val="1"/>
                <w:bCs w:val="1"/>
                <w:color w:val="auto"/>
              </w:rPr>
              <w:t>Six Months Ended</w:t>
            </w:r>
          </w:p>
        </w:tc>
        <w:tc>
          <w:tcPr>
            <w:tcW w:w="960" w:type="dxa"/>
            <w:vAlign w:val="bottom"/>
          </w:tcPr>
          <w:p>
            <w:pPr>
              <w:spacing w:after="0"/>
              <w:rPr>
                <w:sz w:val="10"/>
                <w:szCs w:val="10"/>
                <w:color w:val="auto"/>
              </w:rPr>
            </w:pPr>
          </w:p>
        </w:tc>
      </w:tr>
      <w:tr>
        <w:trPr>
          <w:trHeight w:val="153"/>
        </w:trPr>
        <w:tc>
          <w:tcPr>
            <w:tcW w:w="5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r>
      <w:tr>
        <w:trPr>
          <w:trHeight w:val="155"/>
        </w:trPr>
        <w:tc>
          <w:tcPr>
            <w:tcW w:w="520" w:type="dxa"/>
            <w:vAlign w:val="bottom"/>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25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520" w:type="dxa"/>
            <w:vAlign w:val="bottom"/>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332,874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304,087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582,165</w:t>
            </w:r>
          </w:p>
        </w:tc>
      </w:tr>
      <w:tr>
        <w:trPr>
          <w:trHeight w:val="196"/>
        </w:trPr>
        <w:tc>
          <w:tcPr>
            <w:tcW w:w="5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520" w:type="dxa"/>
            <w:vAlign w:val="bottom"/>
          </w:tcPr>
          <w:p>
            <w:pPr>
              <w:spacing w:after="0"/>
              <w:rPr>
                <w:sz w:val="18"/>
                <w:szCs w:val="18"/>
                <w:color w:val="auto"/>
              </w:rPr>
            </w:pPr>
          </w:p>
        </w:tc>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253,901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502,144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451,478</w:t>
            </w:r>
          </w:p>
        </w:tc>
      </w:tr>
      <w:tr>
        <w:trPr>
          <w:trHeight w:val="196"/>
        </w:trPr>
        <w:tc>
          <w:tcPr>
            <w:tcW w:w="520" w:type="dxa"/>
            <w:vAlign w:val="bottom"/>
          </w:tcPr>
          <w:p>
            <w:pPr>
              <w:spacing w:after="0"/>
              <w:rPr>
                <w:sz w:val="17"/>
                <w:szCs w:val="17"/>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31,875</w:t>
            </w:r>
          </w:p>
        </w:tc>
      </w:tr>
      <w:tr>
        <w:trPr>
          <w:trHeight w:val="207"/>
        </w:trPr>
        <w:tc>
          <w:tcPr>
            <w:tcW w:w="520" w:type="dxa"/>
            <w:vAlign w:val="bottom"/>
          </w:tcPr>
          <w:p>
            <w:pPr>
              <w:spacing w:after="0"/>
              <w:rPr>
                <w:sz w:val="18"/>
                <w:szCs w:val="18"/>
                <w:color w:val="auto"/>
              </w:rPr>
            </w:pPr>
          </w:p>
        </w:tc>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59,602</w:t>
            </w:r>
          </w:p>
        </w:tc>
      </w:tr>
      <w:tr>
        <w:trPr>
          <w:trHeight w:val="196"/>
        </w:trPr>
        <w:tc>
          <w:tcPr>
            <w:tcW w:w="520" w:type="dxa"/>
            <w:vAlign w:val="bottom"/>
          </w:tcPr>
          <w:p>
            <w:pPr>
              <w:spacing w:after="0"/>
              <w:rPr>
                <w:sz w:val="17"/>
                <w:szCs w:val="17"/>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(8,372)</w:t>
            </w:r>
          </w:p>
        </w:tc>
      </w:tr>
      <w:tr>
        <w:trPr>
          <w:trHeight w:val="202"/>
        </w:trPr>
        <w:tc>
          <w:tcPr>
            <w:tcW w:w="520" w:type="dxa"/>
            <w:vAlign w:val="bottom"/>
          </w:tcPr>
          <w:p>
            <w:pPr>
              <w:spacing w:after="0"/>
              <w:rPr>
                <w:sz w:val="17"/>
                <w:szCs w:val="17"/>
                <w:color w:val="auto"/>
              </w:rPr>
            </w:pPr>
          </w:p>
        </w:tc>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21,443</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w:t>
            </w:r>
          </w:p>
        </w:tc>
      </w:tr>
      <w:tr>
        <w:trPr>
          <w:trHeight w:val="198"/>
        </w:trPr>
        <w:tc>
          <w:tcPr>
            <w:tcW w:w="520" w:type="dxa"/>
            <w:vAlign w:val="bottom"/>
          </w:tcPr>
          <w:p>
            <w:pPr>
              <w:spacing w:after="0"/>
              <w:rPr>
                <w:sz w:val="17"/>
                <w:szCs w:val="17"/>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33,383</w:t>
            </w:r>
          </w:p>
        </w:tc>
      </w:tr>
      <w:tr>
        <w:trPr>
          <w:trHeight w:val="20"/>
        </w:trPr>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0"/>
        </w:trPr>
        <w:tc>
          <w:tcPr>
            <w:tcW w:w="5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(1) Refer to footnote 3, for disaggregated revenue by service.</w:t>
      </w:r>
    </w:p>
    <w:p>
      <w:pPr>
        <w:spacing w:after="0" w:line="200" w:lineRule="exact"/>
        <w:rPr>
          <w:sz w:val="20"/>
          <w:szCs w:val="20"/>
          <w:color w:val="auto"/>
        </w:rPr>
      </w:pP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158"/>
        </w:trPr>
        <w:tc>
          <w:tcPr>
            <w:tcW w:w="42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200" w:type="dxa"/>
            <w:vAlign w:val="bottom"/>
            <w:shd w:val="clear" w:color="auto" w:fill="CCEEFF"/>
          </w:tcPr>
          <w:p>
            <w:pPr>
              <w:jc w:val="right"/>
              <w:ind w:right="2056"/>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760,950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607,102</w:t>
            </w:r>
          </w:p>
        </w:tc>
      </w:tr>
    </w:tbl>
    <w:p>
      <w:pPr>
        <w:spacing w:after="0" w:line="200" w:lineRule="exact"/>
        <w:rPr>
          <w:sz w:val="20"/>
          <w:szCs w:val="20"/>
          <w:color w:val="auto"/>
        </w:rPr>
      </w:pPr>
    </w:p>
    <w:p>
      <w:pPr>
        <w:spacing w:after="0" w:line="240" w:lineRule="exact"/>
        <w:rPr>
          <w:sz w:val="20"/>
          <w:szCs w:val="20"/>
          <w:color w:val="auto"/>
        </w:rPr>
      </w:pPr>
    </w:p>
    <w:p>
      <w:pPr>
        <w:ind w:left="520" w:hanging="515"/>
        <w:spacing w:after="0"/>
        <w:tabs>
          <w:tab w:leader="none" w:pos="52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July 1, 2025, the Company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to the Company a maximum aggregate amount of $200 million, subject to customary borrowing conditions, until maturity on July 1, 2030. Interest on the borrowings under the Credit Agreement accrues, at a variable rate, based on, at the Company’s option (i) adjusted Secured Overnight Financing Rate (“SOFR”), or (ii) the alternate base rate, plus, in each case, an applicable margin. The applicable margin is determined by reference to the Company’s total leverage ratio, as specified in the Credit Agreement. Interest is payable on each Interest Payment Date, as specified in the Credit Agreement. Borrowings under the Credit Agreement may be repaid or reborrowed at any time.</w:t>
      </w:r>
    </w:p>
    <w:p>
      <w:pPr>
        <w:spacing w:after="0" w:line="167"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The Credit Agreement contains customary events of default, representations and warranties and covenants, including, among other things, covenants that restrict or limit the ability of the Company to incur certain additional indebtedness; create liens; engage in mergers or consolidations; make certain payments or distributions in respect of junior and unsecured indebtedness, dividends or equity interest; make certain investments; dispose of certain assets; engage in sale and lease-back transactions; engage in certain affiliate transactions; make certain modifications to the terms of junior and unsecured indebtedness, as well as negative pledge provisions, subject to customary exceptions, and customary financial covenants, including a total leverage ratio covenant and an interest coverage ratio covenant.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the date of this filing, no amounts were drawn under the Facility.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2024, filed with the SEC on March 3, 2025.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of this Quarterly Report on Form 10-Q.</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envision a world where everyone can realize their dreams of family and ideal health. Our mission is to empower healthier, supported journeys through transformative fertility, family building and women's health benefits. Through our differentiated approach to benefits plan design, member education and support and active network management, our clients’ employees are able to pursue the most effective treatment across life's milestones from the best providers and achieve optimal outcomes.</w:t>
      </w:r>
    </w:p>
    <w:p>
      <w:pPr>
        <w:spacing w:after="0" w:line="13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Progyny is a leading benefits management company specializing in fertility, family building and women's health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540 with at least 1,000 covered lives. We currently have contracts to provide coverage to approximately 6.8 million employees and their covered dependents (known in our industry as covered lives, and to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+79 for our fertility benefits solution and +84 for Progyny Rx, our integrated pharmacy benefits solution, as of December 31, 2024. Our members experience healthier pregnancies and superior rates of pregnancy and live births, as well as reduced rates of miscarriages and multiple births, saving valuable time and money and limiting personal and professional disruption.</w:t>
      </w:r>
    </w:p>
    <w:p>
      <w:pPr>
        <w:sectPr>
          <w:pgSz w:w="11900" w:h="16838" w:orient="portrait"/>
          <w:cols w:equalWidth="0" w:num="1">
            <w:col w:w="11280"/>
          </w:cols>
          <w:pgMar w:left="300" w:top="231" w:right="319" w:bottom="1440" w:gutter="0" w:footer="0" w:header="0"/>
        </w:sectPr>
      </w:pPr>
    </w:p>
    <w:p>
      <w:pPr>
        <w:spacing w:after="0" w:line="19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1"/>
          <w:szCs w:val="11"/>
          <w:b w:val="1"/>
          <w:bCs w:val="1"/>
          <w:color w:val="auto"/>
        </w:rPr>
        <w:t>Progyny In-Network Provider Clinic</w:t>
      </w:r>
    </w:p>
    <w:p>
      <w:pPr>
        <w:spacing w:after="0" w:line="15" w:lineRule="exact"/>
        <w:rPr>
          <w:sz w:val="20"/>
          <w:szCs w:val="20"/>
          <w:color w:val="auto"/>
        </w:rPr>
      </w:pPr>
    </w:p>
    <w:p>
      <w:pPr>
        <w:ind w:left="5560"/>
        <w:spacing w:after="0"/>
        <w:tabs>
          <w:tab w:leader="none" w:pos="8120" w:val="left"/>
        </w:tabs>
        <w:rPr>
          <w:sz w:val="20"/>
          <w:szCs w:val="20"/>
          <w:color w:val="auto"/>
        </w:rPr>
      </w:pPr>
      <w:r>
        <w:rPr>
          <w:rFonts w:ascii="Times New Roman" w:cs="Times New Roman" w:eastAsia="Times New Roman" w:hAnsi="Times New Roman"/>
          <w:sz w:val="11"/>
          <w:szCs w:val="11"/>
          <w:b w:val="1"/>
          <w:bCs w:val="1"/>
          <w:color w:val="auto"/>
        </w:rPr>
        <w:t>National Averages for All Provider</w:t>
      </w:r>
      <w:r>
        <w:rPr>
          <w:sz w:val="20"/>
          <w:szCs w:val="20"/>
          <w:color w:val="auto"/>
        </w:rPr>
        <w:tab/>
      </w:r>
      <w:r>
        <w:rPr>
          <w:rFonts w:ascii="Times New Roman" w:cs="Times New Roman" w:eastAsia="Times New Roman" w:hAnsi="Times New Roman"/>
          <w:sz w:val="11"/>
          <w:szCs w:val="11"/>
          <w:b w:val="1"/>
          <w:bCs w:val="1"/>
          <w:color w:val="auto"/>
        </w:rPr>
        <w:t>Averages</w:t>
      </w:r>
    </w:p>
    <w:p>
      <w:pPr>
        <w:spacing w:after="0" w:line="1" w:lineRule="exact"/>
        <w:rPr>
          <w:sz w:val="20"/>
          <w:szCs w:val="20"/>
          <w:color w:val="auto"/>
        </w:rPr>
      </w:pPr>
    </w:p>
    <w:p>
      <w:pPr>
        <w:ind w:left="20"/>
        <w:spacing w:after="0"/>
        <w:tabs>
          <w:tab w:leader="none" w:pos="6200" w:val="left"/>
          <w:tab w:leader="none" w:pos="7980" w:val="left"/>
        </w:tabs>
        <w:rPr>
          <w:sz w:val="20"/>
          <w:szCs w:val="20"/>
          <w:color w:val="auto"/>
        </w:rPr>
      </w:pPr>
      <w:r>
        <w:rPr>
          <w:rFonts w:ascii="Times New Roman" w:cs="Times New Roman" w:eastAsia="Times New Roman" w:hAnsi="Times New Roman"/>
          <w:sz w:val="11"/>
          <w:szCs w:val="11"/>
          <w:b w:val="1"/>
          <w:bCs w:val="1"/>
          <w:color w:val="auto"/>
        </w:rPr>
        <w:t>Outcome</w:t>
      </w:r>
      <w:r>
        <w:rPr>
          <w:sz w:val="20"/>
          <w:szCs w:val="20"/>
          <w:color w:val="auto"/>
        </w:rPr>
        <w:tab/>
      </w:r>
      <w:r>
        <w:rPr>
          <w:rFonts w:ascii="Times New Roman" w:cs="Times New Roman" w:eastAsia="Times New Roman" w:hAnsi="Times New Roman"/>
          <w:sz w:val="11"/>
          <w:szCs w:val="11"/>
          <w:b w:val="1"/>
          <w:bCs w:val="1"/>
          <w:color w:val="auto"/>
        </w:rPr>
        <w:t>Clinics</w:t>
      </w:r>
      <w:r>
        <w:rPr>
          <w:sz w:val="20"/>
          <w:szCs w:val="20"/>
          <w:color w:val="auto"/>
        </w:rPr>
        <w:tab/>
      </w:r>
      <w:r>
        <w:rPr>
          <w:rFonts w:ascii="Times New Roman" w:cs="Times New Roman" w:eastAsia="Times New Roman" w:hAnsi="Times New Roman"/>
          <w:sz w:val="11"/>
          <w:szCs w:val="11"/>
          <w:b w:val="1"/>
          <w:bCs w:val="1"/>
          <w:color w:val="auto"/>
        </w:rPr>
        <w:t>for All Patients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Progyny In-Network Provider Clinic</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Averages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for Progyny Members Only</w:t>
      </w:r>
      <w:r>
        <w:rPr>
          <w:rFonts w:ascii="Times New Roman" w:cs="Times New Roman" w:eastAsia="Times New Roman" w:hAnsi="Times New Roman"/>
          <w:sz w:val="5"/>
          <w:szCs w:val="5"/>
          <w:b w:val="1"/>
          <w:bCs w:val="1"/>
          <w:color w:val="auto"/>
        </w:rPr>
        <w:t>(3)</w:t>
      </w:r>
    </w:p>
    <w:p>
      <w:pPr>
        <w:spacing w:after="0" w:line="18" w:lineRule="exact"/>
        <w:rPr>
          <w:sz w:val="20"/>
          <w:szCs w:val="20"/>
          <w:color w:val="auto"/>
        </w:rPr>
      </w:pPr>
    </w:p>
    <w:p>
      <w:pPr>
        <w:sectPr>
          <w:pgSz w:w="11900" w:h="16838" w:orient="portrait"/>
          <w:cols w:equalWidth="0" w:num="2">
            <w:col w:w="9240" w:space="220"/>
            <w:col w:w="1820"/>
          </w:cols>
          <w:pgMar w:left="300" w:top="231" w:right="31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Live birth rate per attempted retrieval</w:t>
            </w:r>
            <w:r>
              <w:rPr>
                <w:rFonts w:ascii="Times New Roman" w:cs="Times New Roman" w:eastAsia="Times New Roman" w:hAnsi="Times New Roman"/>
                <w:sz w:val="6"/>
                <w:szCs w:val="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46.7 %</w:t>
            </w:r>
          </w:p>
        </w:tc>
      </w:tr>
      <w:tr>
        <w:trPr>
          <w:trHeight w:val="19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Single embryo transfer rate</w:t>
            </w:r>
            <w:r>
              <w:rPr>
                <w:rFonts w:ascii="Times New Roman" w:cs="Times New Roman" w:eastAsia="Times New Roman" w:hAnsi="Times New Roman"/>
                <w:sz w:val="6"/>
                <w:szCs w:val="6"/>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78.9 %</w:t>
            </w:r>
          </w:p>
        </w:tc>
        <w:tc>
          <w:tcPr>
            <w:tcW w:w="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96.6 %</w:t>
            </w:r>
          </w:p>
        </w:tc>
      </w:tr>
      <w:tr>
        <w:trPr>
          <w:trHeight w:val="207"/>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Pregnancy rate per IVF transfer</w:t>
            </w:r>
            <w:r>
              <w:rPr>
                <w:rFonts w:ascii="Times New Roman" w:cs="Times New Roman" w:eastAsia="Times New Roman" w:hAnsi="Times New Roman"/>
                <w:sz w:val="6"/>
                <w:szCs w:val="6"/>
                <w:color w:val="auto"/>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55.6 %</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60.8 %</w:t>
            </w:r>
          </w:p>
        </w:tc>
      </w:tr>
      <w:tr>
        <w:trPr>
          <w:trHeight w:val="19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Miscarriage rate</w:t>
            </w:r>
            <w:r>
              <w:rPr>
                <w:rFonts w:ascii="Times New Roman" w:cs="Times New Roman" w:eastAsia="Times New Roman" w:hAnsi="Times New Roman"/>
                <w:sz w:val="6"/>
                <w:szCs w:val="6"/>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r>
      <w:tr>
        <w:trPr>
          <w:trHeight w:val="207"/>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Live birth rate per transfer</w:t>
            </w:r>
            <w:r>
              <w:rPr>
                <w:rFonts w:ascii="Times New Roman" w:cs="Times New Roman" w:eastAsia="Times New Roman" w:hAnsi="Times New Roman"/>
                <w:sz w:val="6"/>
                <w:szCs w:val="6"/>
                <w:color w:val="auto"/>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43.2 %</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52.1 %</w:t>
            </w:r>
          </w:p>
        </w:tc>
      </w:tr>
      <w:tr>
        <w:trPr>
          <w:trHeight w:val="191"/>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IVF multiples rate</w:t>
            </w:r>
            <w:r>
              <w:rPr>
                <w:rFonts w:ascii="Times New Roman" w:cs="Times New Roman" w:eastAsia="Times New Roman" w:hAnsi="Times New Roman"/>
                <w:sz w:val="6"/>
                <w:szCs w:val="6"/>
                <w:color w:val="auto"/>
              </w:rPr>
              <w:t>(2)</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w:t>
            </w:r>
          </w:p>
        </w:tc>
        <w:tc>
          <w:tcPr>
            <w:tcW w:w="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bl>
    <w:p>
      <w:pPr>
        <w:spacing w:after="0" w:line="28" w:lineRule="exact"/>
        <w:rPr>
          <w:sz w:val="20"/>
          <w:szCs w:val="20"/>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Society for Assisted Reproductive Technology, or SART, 2021 National Summary Report, finalized in 2024.</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CDC, 2022 National Summary and Clinic Data Sets, published in 2024.</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12-month period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Model</w:t>
      </w:r>
    </w:p>
    <w:p>
      <w:pPr>
        <w:spacing w:after="0" w:line="17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Fertility Benefits Solution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fertility benefits solution includes providing members with access to effective and cost-efficient fertility treatments through our Smart Cycle plan design.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Progyny Care Advocates, or PCAs, can choose their preferred provider clinics within our network and utilize the specific Smart Cycle treatment bundles necessary for the treatment pathway they determine throughout their fertility journey.</w:t>
      </w:r>
    </w:p>
    <w:p>
      <w:pPr>
        <w:spacing w:after="0" w:line="14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13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Pharmacy Benefits Solution. </w:t>
      </w:r>
      <w:r>
        <w:rPr>
          <w:rFonts w:ascii="Times New Roman" w:cs="Times New Roman" w:eastAsia="Times New Roman" w:hAnsi="Times New Roman"/>
          <w:sz w:val="14"/>
          <w:szCs w:val="14"/>
          <w:color w:val="auto"/>
        </w:rPr>
        <w:t>Progyny Rx can only be purchased by clients that purchase our fertility benefits solution. Progyny Rx provides our members with access to the medications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Clients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currently serve over 540 employers with at least 1,000 covered lives in the United States across more than 40 industries. Our current clients, who are industry leaders across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both high-growth and mature industries and who range in size from approximately 1,000 to 600,000 employees, represent approximately 6.8 million covered lives.</w:t>
      </w:r>
    </w:p>
    <w:p>
      <w:pPr>
        <w:spacing w:after="0" w:line="12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22" w:lineRule="exact"/>
        <w:rPr>
          <w:sz w:val="20"/>
          <w:szCs w:val="20"/>
          <w:color w:val="auto"/>
        </w:rPr>
      </w:pPr>
    </w:p>
    <w:p>
      <w:pPr>
        <w:jc w:val="both"/>
        <w:ind w:left="520" w:hanging="260"/>
        <w:spacing w:after="0" w:line="265"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Utilization Component. </w:t>
      </w:r>
      <w:r>
        <w:rPr>
          <w:rFonts w:ascii="Times New Roman" w:cs="Times New Roman" w:eastAsia="Times New Roman" w:hAnsi="Times New Roman"/>
          <w:sz w:val="14"/>
          <w:szCs w:val="14"/>
          <w:color w:val="auto"/>
        </w:rPr>
        <w:t>Clients pay us for the fertility benefits and Progyny Rx solutions utilized by their employees. With respect to the fertility benefits solution, we bill clients for Smart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37"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Population-Based Component. </w:t>
      </w:r>
      <w:r>
        <w:rPr>
          <w:rFonts w:ascii="Times New Roman" w:cs="Times New Roman" w:eastAsia="Times New Roman" w:hAnsi="Times New Roman"/>
          <w:sz w:val="14"/>
          <w:szCs w:val="14"/>
          <w:color w:val="auto"/>
        </w:rPr>
        <w:t>Clients who purchase our fertility benefits solution also typically pay us a per employee per month fee, or PEPM fee, which is population-based. This allows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us to provide access to our PCAs for fertility and family building education and guidance and other digital tools to all of our members, regardless of whether they ultimately pursue fertility treatment. PEPM fees represented 1% of our total revenue for the six months ended June 30, 2025 and 2024.</w:t>
      </w:r>
    </w:p>
    <w:p>
      <w:pPr>
        <w:spacing w:after="0" w:line="13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Our revenue in a given year is determined by the utilization, including rate of consumption and mix,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 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plan year start.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Operational and Business Metrics</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Member and Client Base. </w:t>
      </w:r>
      <w:r>
        <w:rPr>
          <w:rFonts w:ascii="Times New Roman" w:cs="Times New Roman" w:eastAsia="Times New Roman" w:hAnsi="Times New Roman"/>
          <w:sz w:val="14"/>
          <w:szCs w:val="14"/>
          <w:color w:val="auto"/>
        </w:rPr>
        <w:t>Our addressable market is primarily large self-insured employers, as well as labor populations under the Labor Management Relations Act of 1947 (also known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Taft-Hartley Act) and federal government populations. There are approximately 8,000 employers in the United States who have a minimum of 1,000 employees, who together with Taft-Hartley labor populations and federal government populations, represent approximately 106 million potential covered lives in total. Our current member base of approximately 6.8 million covered lives under contract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June 30, 2025 and December 31, 2024, we served 542 and 473 clients, representing 6,754,000 and 6,472,000 members, respectively.</w:t>
      </w:r>
    </w:p>
    <w:p>
      <w:pPr>
        <w:spacing w:after="0" w:line="14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4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Benefits Utilization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 key driver of our revenue is the number of members we serve and the rate at which they utilize their fertility benefits. As our client base has grown, our membership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has grown from approximately 0.1 million members in 2016 when we launched our fertility benefits solution to approximately 6.8 million members as of June 30, 2025.</w:t>
      </w:r>
    </w:p>
    <w:p>
      <w:pPr>
        <w:spacing w:after="0" w:line="12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highlights the number of assisted reproductive treatment, or ART, cycles performed for Progyny members and the member utilization rates for each of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80" w:type="dxa"/>
            <w:vAlign w:val="bottom"/>
            <w:gridSpan w:val="3"/>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3"/>
          </w:tcPr>
          <w:p>
            <w:pPr>
              <w:jc w:val="center"/>
              <w:ind w:left="895"/>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60" w:type="dxa"/>
            <w:vAlign w:val="bottom"/>
          </w:tcPr>
          <w:p>
            <w:pPr>
              <w:spacing w:after="0"/>
              <w:rPr>
                <w:sz w:val="11"/>
                <w:szCs w:val="11"/>
                <w:color w:val="auto"/>
              </w:rPr>
            </w:pPr>
          </w:p>
        </w:tc>
      </w:tr>
      <w:tr>
        <w:trPr>
          <w:trHeight w:val="158"/>
        </w:trPr>
        <w:tc>
          <w:tcPr>
            <w:tcW w:w="50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Borders>
              <w:bottom w:val="single" w:sz="8" w:color="auto"/>
            </w:tcBorders>
            <w:gridSpan w:val="3"/>
          </w:tcPr>
          <w:p>
            <w:pPr>
              <w:jc w:val="center"/>
              <w:ind w:left="91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r>
      <w:tr>
        <w:trPr>
          <w:trHeight w:val="160"/>
        </w:trPr>
        <w:tc>
          <w:tcPr>
            <w:tcW w:w="50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02"/>
        </w:trPr>
        <w:tc>
          <w:tcPr>
            <w:tcW w:w="596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Assisted Reproductive Treatment (ART) Cycles</w:t>
            </w:r>
            <w:r>
              <w:rPr>
                <w:rFonts w:ascii="Times New Roman" w:cs="Times New Roman" w:eastAsia="Times New Roman" w:hAnsi="Times New Roman"/>
                <w:sz w:val="18"/>
                <w:szCs w:val="18"/>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30,364</w:t>
            </w:r>
          </w:p>
        </w:tc>
      </w:tr>
      <w:tr>
        <w:trPr>
          <w:trHeight w:val="202"/>
        </w:trPr>
        <w:tc>
          <w:tcPr>
            <w:tcW w:w="59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Utilization - All Members</w:t>
            </w:r>
            <w:r>
              <w:rPr>
                <w:rFonts w:ascii="Times New Roman" w:cs="Times New Roman" w:eastAsia="Times New Roman" w:hAnsi="Times New Roman"/>
                <w:sz w:val="18"/>
                <w:szCs w:val="18"/>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w:t>
            </w:r>
          </w:p>
        </w:tc>
      </w:tr>
      <w:tr>
        <w:trPr>
          <w:trHeight w:val="202"/>
        </w:trPr>
        <w:tc>
          <w:tcPr>
            <w:tcW w:w="596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Utilization - Female Only</w:t>
            </w:r>
            <w:r>
              <w:rPr>
                <w:rFonts w:ascii="Times New Roman" w:cs="Times New Roman" w:eastAsia="Times New Roman" w:hAnsi="Times New Roman"/>
                <w:sz w:val="18"/>
                <w:szCs w:val="18"/>
                <w:color w:val="auto"/>
                <w:vertAlign w:val="superscript"/>
              </w:rPr>
              <w:t>(2)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r>
      <w:tr>
        <w:trPr>
          <w:trHeight w:val="24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Average Members </w:t>
            </w:r>
            <w:r>
              <w:rPr>
                <w:rFonts w:ascii="Times New Roman" w:cs="Times New Roman" w:eastAsia="Times New Roman" w:hAnsi="Times New Roman"/>
                <w:sz w:val="18"/>
                <w:szCs w:val="18"/>
                <w:color w:val="auto"/>
                <w:vertAlign w:val="superscript"/>
              </w:rPr>
              <w:t>(3)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6,743,000</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6,409,000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6,723,000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6,347,000</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51" w:lineRule="exact"/>
        <w:rPr>
          <w:sz w:val="20"/>
          <w:szCs w:val="20"/>
          <w:color w:val="auto"/>
        </w:rPr>
      </w:pPr>
    </w:p>
    <w:p>
      <w:pPr>
        <w:ind w:left="260" w:hanging="255"/>
        <w:spacing w:after="0" w:line="287" w:lineRule="auto"/>
        <w:tabs>
          <w:tab w:leader="none" w:pos="25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ART cycles performed, including IVF with a fresh embryo transfer, IVF freeze all cycles/embryo banking, frozen embryo transfers, and egg freezing. Includes ART cycles performed in 2025 under the extended transition of care agreement with the large client who did not renew its services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260" w:hanging="255"/>
        <w:spacing w:after="0" w:line="261" w:lineRule="auto"/>
        <w:tabs>
          <w:tab w:leader="none" w:pos="25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member utilization rate for all fertility and family building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purposes of calculating utilization rates in any given period, the results reflect the number of unique members utilizing the benefit for that period. Individual periods cannot be combined as member treatments may span multiple periods. Utilization for 2025 excludes activity under the extended transition of care agreement with the large client who did not renew its services agreement, as only members meeting certain criteria were eligible to use the benefit.</w:t>
      </w:r>
    </w:p>
    <w:p>
      <w:pPr>
        <w:spacing w:after="0" w:line="143" w:lineRule="exact"/>
        <w:rPr>
          <w:rFonts w:ascii="Times New Roman" w:cs="Times New Roman" w:eastAsia="Times New Roman" w:hAnsi="Times New Roman"/>
          <w:sz w:val="14"/>
          <w:szCs w:val="14"/>
          <w:color w:val="auto"/>
        </w:rPr>
      </w:pPr>
    </w:p>
    <w:p>
      <w:pPr>
        <w:ind w:left="260" w:hanging="255"/>
        <w:spacing w:after="0" w:line="287" w:lineRule="auto"/>
        <w:tabs>
          <w:tab w:leader="none" w:pos="25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300,000 members from a single client who are not reflected in utilization as a result of the client's chosen benefit design. 2025 excludes the limited number of members who were eligible to use the benefit under the extended transition of care agreement with the large client who did not renew its services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Revenue includes fertility benefits solution revenue, pharmacy benefits solution revenue and PEPM fees.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Fertility Benefits Solution Revenue</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Pharmacy Benefits Solution Revenue</w:t>
      </w:r>
    </w:p>
    <w:p>
      <w:pPr>
        <w:spacing w:after="0" w:line="1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Per Employee Per Month (PEPM) Fee</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cost of services has three primary components: (1) fertility benefits services; (2) pharmacy benefits services; and (3) vendor rebates.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Fertility Benefits Services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Pharmacy Benefits Services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Vendor Rebates</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operating expenses consist of sales and marketing and general and administrative expenses.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Sales and Marketing Expense</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to support the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and other income, net primarily includes interest income and expense as well as investment income and losses.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are subject to income taxes in the United States and in certain foreign jurisdictions.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substantially all the net deferred tax assets are realizable.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and as a percentage of revenue for those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3"/>
          </w:tcPr>
          <w:p>
            <w:pPr>
              <w:jc w:val="center"/>
              <w:ind w:left="534"/>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jc w:val="center"/>
              <w:ind w:left="55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332,874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582,165</w:t>
            </w:r>
          </w:p>
        </w:tc>
        <w:tc>
          <w:tcPr>
            <w:tcW w:w="0" w:type="dxa"/>
            <w:vAlign w:val="bottom"/>
          </w:tcPr>
          <w:p>
            <w:pPr>
              <w:spacing w:after="0"/>
              <w:rPr>
                <w:sz w:val="1"/>
                <w:szCs w:val="1"/>
                <w:color w:val="auto"/>
              </w:rPr>
            </w:pPr>
          </w:p>
        </w:tc>
      </w:tr>
      <w:tr>
        <w:trPr>
          <w:trHeight w:val="202"/>
        </w:trPr>
        <w:tc>
          <w:tcPr>
            <w:tcW w:w="5080" w:type="dxa"/>
            <w:vAlign w:val="bottom"/>
            <w:tcBorders>
              <w:bottom w:val="single" w:sz="8" w:color="CCEEFF"/>
            </w:tcBorders>
            <w:gridSpan w:val="4"/>
          </w:tcPr>
          <w:p>
            <w:pPr>
              <w:ind w:left="20"/>
              <w:spacing w:after="0" w:line="201" w:lineRule="exact"/>
              <w:rPr>
                <w:sz w:val="20"/>
                <w:szCs w:val="20"/>
                <w:color w:val="auto"/>
              </w:rPr>
            </w:pPr>
            <w:r>
              <w:rPr>
                <w:rFonts w:ascii="Times New Roman" w:cs="Times New Roman" w:eastAsia="Times New Roman" w:hAnsi="Times New Roman"/>
                <w:sz w:val="14"/>
                <w:szCs w:val="14"/>
                <w:color w:val="auto"/>
              </w:rPr>
              <w:t>Cost of services</w:t>
            </w:r>
            <w:r>
              <w:rPr>
                <w:rFonts w:ascii="Times New Roman" w:cs="Times New Roman" w:eastAsia="Times New Roman" w:hAnsi="Times New Roman"/>
                <w:sz w:val="18"/>
                <w:szCs w:val="18"/>
                <w:color w:val="auto"/>
                <w:vertAlign w:val="superscript"/>
              </w:rPr>
              <w:t>(1)</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253,901</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235,806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502,144</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451,478</w:t>
            </w:r>
          </w:p>
        </w:tc>
        <w:tc>
          <w:tcPr>
            <w:tcW w:w="0" w:type="dxa"/>
            <w:vAlign w:val="bottom"/>
          </w:tcPr>
          <w:p>
            <w:pPr>
              <w:spacing w:after="0"/>
              <w:rPr>
                <w:sz w:val="1"/>
                <w:szCs w:val="1"/>
                <w:color w:val="auto"/>
              </w:rPr>
            </w:pPr>
          </w:p>
        </w:tc>
      </w:tr>
      <w:tr>
        <w:trPr>
          <w:trHeight w:val="192"/>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78,973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154,768</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130,687</w:t>
            </w:r>
          </w:p>
        </w:tc>
        <w:tc>
          <w:tcPr>
            <w:tcW w:w="0" w:type="dxa"/>
            <w:vAlign w:val="bottom"/>
          </w:tcPr>
          <w:p>
            <w:pPr>
              <w:spacing w:after="0"/>
              <w:rPr>
                <w:sz w:val="1"/>
                <w:szCs w:val="1"/>
                <w:color w:val="auto"/>
              </w:rPr>
            </w:pPr>
          </w:p>
        </w:tc>
      </w:tr>
      <w:tr>
        <w:trPr>
          <w:trHeight w:val="196"/>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shd w:val="clear" w:color="auto" w:fill="CCEEFF"/>
              </w:rPr>
              <w:t>Sales and marketing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shd w:val="clear" w:color="auto" w:fill="CCEEFF"/>
              </w:rPr>
              <w:t>(1)</w:t>
            </w:r>
          </w:p>
        </w:tc>
        <w:tc>
          <w:tcPr>
            <w:tcW w:w="3680" w:type="dxa"/>
            <w:vAlign w:val="bottom"/>
            <w:vMerge w:val="restart"/>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18,405</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31,875</w:t>
            </w:r>
          </w:p>
        </w:tc>
        <w:tc>
          <w:tcPr>
            <w:tcW w:w="0" w:type="dxa"/>
            <w:vAlign w:val="bottom"/>
          </w:tcPr>
          <w:p>
            <w:pPr>
              <w:spacing w:after="0"/>
              <w:rPr>
                <w:sz w:val="1"/>
                <w:szCs w:val="1"/>
                <w:color w:val="auto"/>
              </w:rPr>
            </w:pPr>
          </w:p>
        </w:tc>
      </w:tr>
      <w:tr>
        <w:trPr>
          <w:trHeight w:val="58"/>
        </w:trPr>
        <w:tc>
          <w:tcPr>
            <w:tcW w:w="14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80" w:type="dxa"/>
            <w:vAlign w:val="bottom"/>
            <w:tcBorders>
              <w:bottom w:val="single" w:sz="8" w:color="CCEEFF"/>
            </w:tcBorders>
            <w:vMerge w:val="continue"/>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4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gridSpan w:val="3"/>
          </w:tcPr>
          <w:p>
            <w:pPr>
              <w:spacing w:after="0" w:line="201"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8"/>
                <w:szCs w:val="18"/>
                <w:color w:val="auto"/>
                <w:vertAlign w:val="superscript"/>
              </w:rPr>
              <w:t>(1)</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36,210</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31,173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70,049</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59,602</w:t>
            </w:r>
          </w:p>
        </w:tc>
        <w:tc>
          <w:tcPr>
            <w:tcW w:w="0" w:type="dxa"/>
            <w:vAlign w:val="bottom"/>
          </w:tcPr>
          <w:p>
            <w:pPr>
              <w:spacing w:after="0"/>
              <w:rPr>
                <w:sz w:val="1"/>
                <w:szCs w:val="1"/>
                <w:color w:val="auto"/>
              </w:rPr>
            </w:pPr>
          </w:p>
        </w:tc>
      </w:tr>
      <w:tr>
        <w:trPr>
          <w:trHeight w:val="187"/>
        </w:trPr>
        <w:tc>
          <w:tcPr>
            <w:tcW w:w="140" w:type="dxa"/>
            <w:vAlign w:val="bottom"/>
            <w:shd w:val="clear" w:color="auto" w:fill="CCEEFF"/>
          </w:tcPr>
          <w:p>
            <w:pPr>
              <w:spacing w:after="0"/>
              <w:rPr>
                <w:sz w:val="16"/>
                <w:szCs w:val="16"/>
                <w:color w:val="auto"/>
              </w:rPr>
            </w:pPr>
          </w:p>
        </w:tc>
        <w:tc>
          <w:tcPr>
            <w:tcW w:w="4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54,615</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47,594</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106,240</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91,477</w:t>
            </w:r>
          </w:p>
        </w:tc>
        <w:tc>
          <w:tcPr>
            <w:tcW w:w="0" w:type="dxa"/>
            <w:vAlign w:val="bottom"/>
          </w:tcPr>
          <w:p>
            <w:pPr>
              <w:spacing w:after="0"/>
              <w:rPr>
                <w:sz w:val="1"/>
                <w:szCs w:val="1"/>
                <w:color w:val="auto"/>
              </w:rPr>
            </w:pPr>
          </w:p>
        </w:tc>
      </w:tr>
      <w:tr>
        <w:trPr>
          <w:trHeight w:val="192"/>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39,210</w:t>
            </w:r>
          </w:p>
        </w:tc>
        <w:tc>
          <w:tcPr>
            <w:tcW w:w="0" w:type="dxa"/>
            <w:vAlign w:val="bottom"/>
          </w:tcPr>
          <w:p>
            <w:pPr>
              <w:spacing w:after="0"/>
              <w:rPr>
                <w:sz w:val="1"/>
                <w:szCs w:val="1"/>
                <w:color w:val="auto"/>
              </w:rPr>
            </w:pPr>
          </w:p>
        </w:tc>
      </w:tr>
      <w:tr>
        <w:trPr>
          <w:trHeight w:val="202"/>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0" w:type="dxa"/>
            <w:vAlign w:val="bottom"/>
          </w:tcPr>
          <w:p>
            <w:pPr>
              <w:spacing w:after="0"/>
              <w:rPr>
                <w:sz w:val="1"/>
                <w:szCs w:val="1"/>
                <w:color w:val="auto"/>
              </w:rPr>
            </w:pPr>
          </w:p>
        </w:tc>
      </w:tr>
      <w:tr>
        <w:trPr>
          <w:trHeight w:val="192"/>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47,582</w:t>
            </w:r>
          </w:p>
        </w:tc>
        <w:tc>
          <w:tcPr>
            <w:tcW w:w="0" w:type="dxa"/>
            <w:vAlign w:val="bottom"/>
          </w:tcPr>
          <w:p>
            <w:pPr>
              <w:spacing w:after="0"/>
              <w:rPr>
                <w:sz w:val="1"/>
                <w:szCs w:val="1"/>
                <w:color w:val="auto"/>
              </w:rPr>
            </w:pPr>
          </w:p>
        </w:tc>
      </w:tr>
      <w:tr>
        <w:trPr>
          <w:trHeight w:val="202"/>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21,443</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33,383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(2)</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57,946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115,736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80" w:type="dxa"/>
            <w:vAlign w:val="bottom"/>
            <w:gridSpan w:val="4"/>
            <w:vMerge w:val="continue"/>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jc w:val="center"/>
              <w:ind w:left="534"/>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2"/>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18,481</w:t>
            </w:r>
          </w:p>
        </w:tc>
        <w:tc>
          <w:tcPr>
            <w:tcW w:w="0" w:type="dxa"/>
            <w:vAlign w:val="bottom"/>
          </w:tcPr>
          <w:p>
            <w:pPr>
              <w:spacing w:after="0"/>
              <w:rPr>
                <w:sz w:val="1"/>
                <w:szCs w:val="1"/>
                <w:color w:val="auto"/>
              </w:rPr>
            </w:pPr>
          </w:p>
        </w:tc>
      </w:tr>
      <w:tr>
        <w:trPr>
          <w:trHeight w:val="196"/>
        </w:trPr>
        <w:tc>
          <w:tcPr>
            <w:tcW w:w="50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15,414</w:t>
            </w:r>
          </w:p>
        </w:tc>
        <w:tc>
          <w:tcPr>
            <w:tcW w:w="0" w:type="dxa"/>
            <w:vAlign w:val="bottom"/>
          </w:tcPr>
          <w:p>
            <w:pPr>
              <w:spacing w:after="0"/>
              <w:rPr>
                <w:sz w:val="1"/>
                <w:szCs w:val="1"/>
                <w:color w:val="auto"/>
              </w:rPr>
            </w:pPr>
          </w:p>
        </w:tc>
      </w:tr>
      <w:tr>
        <w:trPr>
          <w:trHeight w:val="207"/>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29,896</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30,193</w:t>
            </w:r>
          </w:p>
        </w:tc>
        <w:tc>
          <w:tcPr>
            <w:tcW w:w="0" w:type="dxa"/>
            <w:vAlign w:val="bottom"/>
          </w:tcPr>
          <w:p>
            <w:pPr>
              <w:spacing w:after="0"/>
              <w:rPr>
                <w:sz w:val="1"/>
                <w:szCs w:val="1"/>
                <w:color w:val="auto"/>
              </w:rPr>
            </w:pPr>
          </w:p>
        </w:tc>
      </w:tr>
      <w:tr>
        <w:trPr>
          <w:trHeight w:val="192"/>
        </w:trPr>
        <w:tc>
          <w:tcPr>
            <w:tcW w:w="5080" w:type="dxa"/>
            <w:vAlign w:val="bottom"/>
            <w:gridSpan w:val="4"/>
          </w:tcPr>
          <w:p>
            <w:pPr>
              <w:ind w:left="20"/>
              <w:spacing w:after="0" w:line="161"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32,383</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33,036</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64,895</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64,088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29</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6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
        <w:spacing w:after="0" w:line="270" w:lineRule="auto"/>
        <w:tabs>
          <w:tab w:leader="none" w:pos="21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that we define as net income, adjusted to exclude depreciation and amortization, stock-based compensation expense, interest and other income, net, and provision for income taxes. See “Management’s Discussion and Analysis of Financial Condition and Result of Operations – Non-GAAP Financial Measure – Adjusted EBITDA" below for a reconciliation of Adjusted EBITDA to net income, the most directly comparable measure calculated in accordance with U.S. GAAP.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3"/>
          </w:tcPr>
          <w:p>
            <w:pPr>
              <w:jc w:val="center"/>
              <w:ind w:left="952"/>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20" w:type="dxa"/>
            <w:vAlign w:val="bottom"/>
          </w:tcPr>
          <w:p>
            <w:pPr>
              <w:spacing w:after="0"/>
              <w:rPr>
                <w:sz w:val="11"/>
                <w:szCs w:val="11"/>
                <w:color w:val="auto"/>
              </w:rPr>
            </w:pPr>
          </w:p>
        </w:tc>
      </w:tr>
      <w:tr>
        <w:trPr>
          <w:trHeight w:val="158"/>
        </w:trPr>
        <w:tc>
          <w:tcPr>
            <w:tcW w:w="48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Borders>
              <w:bottom w:val="single" w:sz="8" w:color="auto"/>
            </w:tcBorders>
            <w:gridSpan w:val="3"/>
          </w:tcPr>
          <w:p>
            <w:pPr>
              <w:jc w:val="center"/>
              <w:ind w:left="97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20" w:type="dxa"/>
            <w:vAlign w:val="bottom"/>
            <w:tcBorders>
              <w:bottom w:val="single" w:sz="8" w:color="auto"/>
            </w:tcBorders>
          </w:tcPr>
          <w:p>
            <w:pPr>
              <w:spacing w:after="0"/>
              <w:rPr>
                <w:sz w:val="13"/>
                <w:szCs w:val="13"/>
                <w:color w:val="auto"/>
              </w:rPr>
            </w:pPr>
          </w:p>
        </w:tc>
      </w:tr>
      <w:tr>
        <w:trPr>
          <w:trHeight w:val="160"/>
        </w:trPr>
        <w:tc>
          <w:tcPr>
            <w:tcW w:w="5820" w:type="dxa"/>
            <w:vAlign w:val="bottom"/>
            <w:gridSpan w:val="2"/>
          </w:tcPr>
          <w:p>
            <w:pPr>
              <w:ind w:left="55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54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 as a percentage of revenue:</w:t>
            </w:r>
          </w:p>
        </w:tc>
        <w:tc>
          <w:tcPr>
            <w:tcW w:w="9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07"/>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77.6</w:t>
            </w:r>
          </w:p>
        </w:tc>
      </w:tr>
      <w:tr>
        <w:trPr>
          <w:trHeight w:val="198"/>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22.4</w:t>
            </w:r>
          </w:p>
        </w:tc>
      </w:tr>
      <w:tr>
        <w:trPr>
          <w:trHeight w:val="19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5.5</w:t>
            </w:r>
          </w:p>
        </w:tc>
      </w:tr>
      <w:tr>
        <w:trPr>
          <w:trHeight w:val="196"/>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10.2</w:t>
            </w:r>
          </w:p>
        </w:tc>
      </w:tr>
      <w:tr>
        <w:trPr>
          <w:trHeight w:val="198"/>
        </w:trPr>
        <w:tc>
          <w:tcPr>
            <w:tcW w:w="5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15.7</w:t>
            </w:r>
          </w:p>
        </w:tc>
      </w:tr>
      <w:tr>
        <w:trPr>
          <w:trHeight w:val="19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6.7</w:t>
            </w:r>
          </w:p>
        </w:tc>
      </w:tr>
      <w:tr>
        <w:trPr>
          <w:trHeight w:val="19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r>
      <w:tr>
        <w:trPr>
          <w:trHeight w:val="19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8.2</w:t>
            </w:r>
          </w:p>
        </w:tc>
      </w:tr>
      <w:tr>
        <w:trPr>
          <w:trHeight w:val="20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w:t>
            </w:r>
          </w:p>
        </w:tc>
      </w:tr>
      <w:tr>
        <w:trPr>
          <w:trHeight w:val="19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0"/>
        </w:trPr>
        <w:tc>
          <w:tcPr>
            <w:tcW w:w="4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percentages shown in the table may not foot due to rounding.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 – Adjusted EBITDA</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43"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calculate Adjusted EBITDA as net income, adjusted to exclude depreciation and amortization, stock-based compensation expense, interest and other income, net, and provision for income taxes. The following table presents a reconciliation of Adjusted EBITDA to net income, the most directly comparable financial measure stated in accordance with U.S. GAAP, for each of the periods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3"/>
          </w:tcPr>
          <w:p>
            <w:pPr>
              <w:jc w:val="center"/>
              <w:ind w:left="535"/>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60" w:type="dxa"/>
            <w:vAlign w:val="bottom"/>
          </w:tcPr>
          <w:p>
            <w:pPr>
              <w:spacing w:after="0"/>
              <w:rPr>
                <w:sz w:val="11"/>
                <w:szCs w:val="11"/>
                <w:color w:val="auto"/>
              </w:rPr>
            </w:pPr>
          </w:p>
        </w:tc>
      </w:tr>
      <w:tr>
        <w:trPr>
          <w:trHeight w:val="158"/>
        </w:trPr>
        <w:tc>
          <w:tcPr>
            <w:tcW w:w="50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left="55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60" w:type="dxa"/>
            <w:vAlign w:val="bottom"/>
            <w:tcBorders>
              <w:bottom w:val="single" w:sz="8" w:color="auto"/>
            </w:tcBorders>
          </w:tcPr>
          <w:p>
            <w:pPr>
              <w:spacing w:after="0"/>
              <w:rPr>
                <w:sz w:val="13"/>
                <w:szCs w:val="13"/>
                <w:color w:val="auto"/>
              </w:rPr>
            </w:pPr>
          </w:p>
        </w:tc>
      </w:tr>
      <w:tr>
        <w:trPr>
          <w:trHeight w:val="160"/>
        </w:trPr>
        <w:tc>
          <w:tcPr>
            <w:tcW w:w="5080" w:type="dxa"/>
            <w:vAlign w:val="bottom"/>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2"/>
        </w:trPr>
        <w:tc>
          <w:tcPr>
            <w:tcW w:w="5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center"/>
              <w:ind w:left="55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6"/>
                <w:szCs w:val="16"/>
                <w:color w:val="auto"/>
              </w:rPr>
            </w:pP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33,383</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r>
      <w:tr>
        <w:trPr>
          <w:trHeight w:val="202"/>
        </w:trPr>
        <w:tc>
          <w:tcPr>
            <w:tcW w:w="508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64,895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64,088</w:t>
            </w:r>
          </w:p>
        </w:tc>
      </w:tr>
      <w:tr>
        <w:trPr>
          <w:trHeight w:val="202"/>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w:t>
            </w:r>
          </w:p>
        </w:tc>
      </w:tr>
      <w:tr>
        <w:trPr>
          <w:trHeight w:val="196"/>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21,443</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14,199</w:t>
            </w:r>
          </w:p>
        </w:tc>
      </w:tr>
      <w:tr>
        <w:trPr>
          <w:trHeight w:val="22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57,946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115,736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Three Months Ended June 30,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8"/>
        </w:trPr>
        <w:tc>
          <w:tcPr>
            <w:tcW w:w="65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440" w:type="dxa"/>
            <w:vAlign w:val="bottom"/>
            <w:gridSpan w:val="2"/>
            <w:shd w:val="clear" w:color="auto" w:fill="CCEEFF"/>
          </w:tcPr>
          <w:p>
            <w:pPr>
              <w:jc w:val="right"/>
              <w:ind w:right="6863"/>
              <w:spacing w:after="0"/>
              <w:rPr>
                <w:sz w:val="20"/>
                <w:szCs w:val="20"/>
                <w:color w:val="auto"/>
              </w:rPr>
            </w:pPr>
            <w:r>
              <w:rPr>
                <w:rFonts w:ascii="Times New Roman" w:cs="Times New Roman" w:eastAsia="Times New Roman" w:hAnsi="Times New Roman"/>
                <w:sz w:val="14"/>
                <w:szCs w:val="14"/>
                <w:color w:val="auto"/>
              </w:rPr>
              <w:t>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$304,087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spacing w:after="0" w:line="22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Revenue increased by $28.8 million, or 9%, for the three months ended June 30, 2025 compared to the three months ended June 30, 2024. This increase is primarily due to a $20.4 million, or 11%, increase in revenue from our fertility benefits solution and a $8.4 million, or 8%, increase in revenue from our Progyny Rx solution. The increase in revenue from our fertility benefits solution and our Progyny Rx solution were primarily due to the increase in the number of clients and covered lives.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8"/>
        </w:trPr>
        <w:tc>
          <w:tcPr>
            <w:tcW w:w="65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440" w:type="dxa"/>
            <w:vAlign w:val="bottom"/>
            <w:gridSpan w:val="2"/>
            <w:shd w:val="clear" w:color="auto" w:fill="CCEEFF"/>
          </w:tcPr>
          <w:p>
            <w:pPr>
              <w:jc w:val="right"/>
              <w:ind w:right="6463"/>
              <w:spacing w:after="0"/>
              <w:rPr>
                <w:sz w:val="20"/>
                <w:szCs w:val="20"/>
                <w:color w:val="auto"/>
              </w:rPr>
            </w:pPr>
            <w:r>
              <w:rPr>
                <w:rFonts w:ascii="Times New Roman" w:cs="Times New Roman" w:eastAsia="Times New Roman" w:hAnsi="Times New Roman"/>
                <w:sz w:val="14"/>
                <w:szCs w:val="14"/>
                <w:color w:val="auto"/>
              </w:rPr>
              <w:t>Cost of services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$235,806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15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Cost of services increased by $18.1 million, or 8%, for the three months ended June 30, 2025 compared to the three months ended June 30, 2024, primarily due to an increase in medical treatment and pharmacy prescription costs associated with fertility treatment delivered. This increase in cost of services was also attributable to an increase in personnel-related costs primarily due to incremental head count which included an increase in stock-based compensation expense of $0.1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60" w:type="dxa"/>
            <w:vAlign w:val="bottom"/>
            <w:gridSpan w:val="3"/>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58"/>
        </w:trPr>
        <w:tc>
          <w:tcPr>
            <w:tcW w:w="64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640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3"/>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1"/>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$78,973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$68,281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1"/>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Gross profit increased by $10.7 million, or 16%, for the three months ended June 30, 2025 compared to the three months ended June 30, 2024.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Gross margin increased 120 basis points for the three months ended June 30, 2025 compared to the three months ended June 30, 2024, primarily due to ongoing efficiencies realized in the delivery of our care management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8"/>
        </w:trPr>
        <w:tc>
          <w:tcPr>
            <w:tcW w:w="65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80" w:type="dxa"/>
            <w:vAlign w:val="bottom"/>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480" w:type="dxa"/>
            <w:vAlign w:val="bottom"/>
            <w:gridSpan w:val="2"/>
            <w:shd w:val="clear" w:color="auto" w:fill="CCEEFF"/>
          </w:tcPr>
          <w:p>
            <w:pPr>
              <w:jc w:val="right"/>
              <w:ind w:right="6263"/>
              <w:spacing w:after="0"/>
              <w:rPr>
                <w:sz w:val="20"/>
                <w:szCs w:val="20"/>
                <w:color w:val="auto"/>
              </w:rPr>
            </w:pPr>
            <w:r>
              <w:rPr>
                <w:rFonts w:ascii="Times New Roman" w:cs="Times New Roman" w:eastAsia="Times New Roman" w:hAnsi="Times New Roman"/>
                <w:sz w:val="14"/>
                <w:szCs w:val="14"/>
                <w:color w:val="auto"/>
              </w:rPr>
              <w:t>Sales and marketing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pacing w:after="0" w:line="15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Sales and marketing expense increased by $2.0 million, or 12%, for the three months ended June 30, 2025 compared to the three months ended June 30, 2024. This increase was primarily due to a $1.5 million increase in personnel-related costs attributable to incremental head count which included an increase in stock-based compensation expense of $0.2 million, and a $0.5 million increase in other related sales and marketing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8"/>
        </w:trPr>
        <w:tc>
          <w:tcPr>
            <w:tcW w:w="65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80" w:type="dxa"/>
            <w:vAlign w:val="bottom"/>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480" w:type="dxa"/>
            <w:vAlign w:val="bottom"/>
            <w:gridSpan w:val="2"/>
            <w:shd w:val="clear" w:color="auto" w:fill="CCEEFF"/>
          </w:tcPr>
          <w:p>
            <w:pPr>
              <w:jc w:val="right"/>
              <w:ind w:right="5863"/>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spacing w:after="0" w:line="15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 increased by $5.0 million, or 16%, for the three months ended June 30, 2025 compared to the three months ended June 30, 2024. This increase was primarily due to a $1.6 million increase in personnel-related costs as higher costs attributable to incremental head count were partially offset by a $1.0 million decrease in stock-based compensation expense, an increase of $0.6 million in bad debt expense driven by our revenue growth, and a $2.8 million increase in other related general and administrative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58"/>
        </w:trPr>
        <w:tc>
          <w:tcPr>
            <w:tcW w:w="65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60"/>
        </w:trPr>
        <w:tc>
          <w:tcPr>
            <w:tcW w:w="6540" w:type="dxa"/>
            <w:vAlign w:val="bottom"/>
          </w:tcPr>
          <w:p>
            <w:pPr>
              <w:spacing w:after="0"/>
              <w:rPr>
                <w:sz w:val="13"/>
                <w:szCs w:val="13"/>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1"/>
        </w:trPr>
        <w:tc>
          <w:tcPr>
            <w:tcW w:w="7460" w:type="dxa"/>
            <w:vAlign w:val="bottom"/>
            <w:gridSpan w:val="2"/>
            <w:shd w:val="clear" w:color="auto" w:fill="CCEEFF"/>
          </w:tcPr>
          <w:p>
            <w:pPr>
              <w:jc w:val="right"/>
              <w:ind w:right="5703"/>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bl>
    <w:p>
      <w:pPr>
        <w:spacing w:after="0" w:line="15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Interest and other income, net decreased by $1.7 million for the three months ended June 30, 2025 compared to the three months ended June 30, 2024, primarily due to a decrease in investment income, partially offset by an increase in interest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8"/>
        </w:trPr>
        <w:tc>
          <w:tcPr>
            <w:tcW w:w="65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80" w:type="dxa"/>
            <w:vAlign w:val="bottom"/>
          </w:tcPr>
          <w:p>
            <w:pPr>
              <w:spacing w:after="0"/>
              <w:rPr>
                <w:sz w:val="13"/>
                <w:szCs w:val="13"/>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500" w:type="dxa"/>
            <w:vAlign w:val="bottom"/>
            <w:gridSpan w:val="2"/>
            <w:shd w:val="clear" w:color="auto" w:fill="CCEEFF"/>
          </w:tcPr>
          <w:p>
            <w:pPr>
              <w:jc w:val="right"/>
              <w:ind w:right="5903"/>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$8,582</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spacing w:after="0" w:line="15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2025, we recorded a provision for income taxes of $10.0 million, as compared to a provision for income taxes of $8.6 million for the three months ended June 30, 2024, primarily due to higher operating profit as well as a decrease in tax benefits for equity compensation, including discrete tax benefits, in the current year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Six Months Ended June 30,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0"/>
        </w:trPr>
        <w:tc>
          <w:tcPr>
            <w:tcW w:w="65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440" w:type="dxa"/>
            <w:vAlign w:val="bottom"/>
            <w:gridSpan w:val="2"/>
            <w:shd w:val="clear" w:color="auto" w:fill="CCEEFF"/>
          </w:tcPr>
          <w:p>
            <w:pPr>
              <w:jc w:val="right"/>
              <w:ind w:right="6863"/>
              <w:spacing w:after="0"/>
              <w:rPr>
                <w:sz w:val="20"/>
                <w:szCs w:val="20"/>
                <w:color w:val="auto"/>
              </w:rPr>
            </w:pPr>
            <w:r>
              <w:rPr>
                <w:rFonts w:ascii="Times New Roman" w:cs="Times New Roman" w:eastAsia="Times New Roman" w:hAnsi="Times New Roman"/>
                <w:sz w:val="14"/>
                <w:szCs w:val="14"/>
                <w:color w:val="auto"/>
              </w:rPr>
              <w:t>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$582,165</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bl>
    <w:p>
      <w:pPr>
        <w:spacing w:after="0" w:line="21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Revenue increased by $74.7 million, or 13%, for the six months ended June 30, 2025 compared to the six months ended June 30, 2024. This increase is primarily due to a $57.0 million, or 16%, increase in revenue from our fertility benefits solution and a $17.7 million, or 8%, increase in revenue from our Progyny Rx solution. The increases in revenue from our fertility benefits solution and our Progyny Rx solution were primarily due to the increase in the number of clients and covered lives.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49"/>
        </w:trPr>
        <w:tc>
          <w:tcPr>
            <w:tcW w:w="65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59"/>
        </w:trPr>
        <w:tc>
          <w:tcPr>
            <w:tcW w:w="65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440" w:type="dxa"/>
            <w:vAlign w:val="bottom"/>
            <w:gridSpan w:val="2"/>
            <w:shd w:val="clear" w:color="auto" w:fill="CCEEFF"/>
          </w:tcPr>
          <w:p>
            <w:pPr>
              <w:jc w:val="right"/>
              <w:ind w:right="6463"/>
              <w:spacing w:after="0"/>
              <w:rPr>
                <w:sz w:val="20"/>
                <w:szCs w:val="20"/>
                <w:color w:val="auto"/>
              </w:rPr>
            </w:pPr>
            <w:r>
              <w:rPr>
                <w:rFonts w:ascii="Times New Roman" w:cs="Times New Roman" w:eastAsia="Times New Roman" w:hAnsi="Times New Roman"/>
                <w:sz w:val="14"/>
                <w:szCs w:val="14"/>
                <w:color w:val="auto"/>
              </w:rPr>
              <w:t>Cost of services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$451,478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bl>
    <w:p>
      <w:pPr>
        <w:spacing w:after="0" w:line="15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Cost of services increased by $50.7 million, or 11%, for the six months ended June 30, 2025 compared to the six months ended June 30, 2024, primarily due to an increase in medical treatment and pharmacy prescription costs associated with fertility treatment delivered. This increase in cost of services was also attributable to an increase in personnel-related costs primarily due to incremental head count which included an increase in stock-based compensation expense of $0.5 million.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0" w:type="dxa"/>
            <w:vAlign w:val="bottom"/>
          </w:tcPr>
          <w:p>
            <w:pPr>
              <w:spacing w:after="0"/>
              <w:rPr>
                <w:sz w:val="11"/>
                <w:szCs w:val="11"/>
                <w:color w:val="auto"/>
              </w:rPr>
            </w:pPr>
          </w:p>
        </w:tc>
        <w:tc>
          <w:tcPr>
            <w:tcW w:w="2240" w:type="dxa"/>
            <w:vAlign w:val="bottom"/>
          </w:tcPr>
          <w:p>
            <w:pPr>
              <w:jc w:val="center"/>
              <w:ind w:left="91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50"/>
        </w:trPr>
        <w:tc>
          <w:tcPr>
            <w:tcW w:w="6400" w:type="dxa"/>
            <w:vAlign w:val="bottom"/>
          </w:tcPr>
          <w:p>
            <w:pPr>
              <w:spacing w:after="0"/>
              <w:rPr>
                <w:sz w:val="13"/>
                <w:szCs w:val="13"/>
                <w:color w:val="auto"/>
              </w:rPr>
            </w:pPr>
          </w:p>
        </w:tc>
        <w:tc>
          <w:tcPr>
            <w:tcW w:w="224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6400" w:type="dxa"/>
            <w:vAlign w:val="bottom"/>
          </w:tcPr>
          <w:p>
            <w:pPr>
              <w:spacing w:after="0"/>
              <w:rPr>
                <w:sz w:val="13"/>
                <w:szCs w:val="13"/>
                <w:color w:val="auto"/>
              </w:rPr>
            </w:pPr>
          </w:p>
        </w:tc>
        <w:tc>
          <w:tcPr>
            <w:tcW w:w="224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9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400" w:type="dxa"/>
            <w:vAlign w:val="bottom"/>
          </w:tcPr>
          <w:p>
            <w:pPr>
              <w:spacing w:after="0"/>
              <w:rPr>
                <w:sz w:val="19"/>
                <w:szCs w:val="19"/>
                <w:color w:val="auto"/>
              </w:rPr>
            </w:pPr>
          </w:p>
        </w:tc>
        <w:tc>
          <w:tcPr>
            <w:tcW w:w="2240" w:type="dxa"/>
            <w:vAlign w:val="bottom"/>
          </w:tcPr>
          <w:p>
            <w:pPr>
              <w:jc w:val="center"/>
              <w:ind w:left="939"/>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2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4"/>
                <w:szCs w:val="14"/>
                <w:color w:val="auto"/>
              </w:rPr>
              <w:t>$154,768</w:t>
            </w: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$130,687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2240" w:type="dxa"/>
            <w:vAlign w:val="bottom"/>
          </w:tcPr>
          <w:p>
            <w:pPr>
              <w:jc w:val="right"/>
              <w:ind w:right="619"/>
              <w:spacing w:after="0"/>
              <w:rPr>
                <w:sz w:val="20"/>
                <w:szCs w:val="20"/>
                <w:color w:val="auto"/>
              </w:rPr>
            </w:pPr>
            <w:r>
              <w:rPr>
                <w:rFonts w:ascii="Times New Roman" w:cs="Times New Roman" w:eastAsia="Times New Roman" w:hAnsi="Times New Roman"/>
                <w:sz w:val="14"/>
                <w:szCs w:val="14"/>
                <w:color w:val="auto"/>
              </w:rPr>
              <w:t>23.6%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Gross profit increased by $24.1 million, or 18%, for the six months ended June 30, 2025 compared to the six months ended June 30, 2024.</w:t>
      </w:r>
    </w:p>
    <w:p>
      <w:pPr>
        <w:spacing w:after="0" w:line="179"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Gross margin increased 120 basis points for the six months ended June 30, 2025 compared to the six months ended June 30, 2024, primarily due to ongoing efficiencies realized in the delivery of our care management services.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 Expense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0"/>
        </w:trPr>
        <w:tc>
          <w:tcPr>
            <w:tcW w:w="65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80" w:type="dxa"/>
            <w:vAlign w:val="bottom"/>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480" w:type="dxa"/>
            <w:vAlign w:val="bottom"/>
            <w:gridSpan w:val="2"/>
            <w:shd w:val="clear" w:color="auto" w:fill="CCEEFF"/>
          </w:tcPr>
          <w:p>
            <w:pPr>
              <w:jc w:val="right"/>
              <w:ind w:right="6263"/>
              <w:spacing w:after="0"/>
              <w:rPr>
                <w:sz w:val="20"/>
                <w:szCs w:val="20"/>
                <w:color w:val="auto"/>
              </w:rPr>
            </w:pPr>
            <w:r>
              <w:rPr>
                <w:rFonts w:ascii="Times New Roman" w:cs="Times New Roman" w:eastAsia="Times New Roman" w:hAnsi="Times New Roman"/>
                <w:sz w:val="14"/>
                <w:szCs w:val="14"/>
                <w:color w:val="auto"/>
              </w:rPr>
              <w:t>Sales and marketing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$31,875</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bl>
    <w:p>
      <w:pPr>
        <w:spacing w:after="0" w:line="15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Sales and marketing expense increased by $4.3 million, or 14%, for the six months ended June 30, 2025 compared to the six months ended June 30, 2024. This increase was primarily due to a $3.3 million increase in personnel-related costs attributable to incremental head count which included an increase in stock-based compensation expense of $0.6 million, and a $1.0 million increase in other related sales and marketing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50"/>
        </w:trPr>
        <w:tc>
          <w:tcPr>
            <w:tcW w:w="65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80" w:type="dxa"/>
            <w:vAlign w:val="bottom"/>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480" w:type="dxa"/>
            <w:vAlign w:val="bottom"/>
            <w:gridSpan w:val="2"/>
            <w:shd w:val="clear" w:color="auto" w:fill="CCEEFF"/>
          </w:tcPr>
          <w:p>
            <w:pPr>
              <w:jc w:val="right"/>
              <w:ind w:right="5863"/>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$59,602</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bl>
    <w:p>
      <w:pPr>
        <w:spacing w:after="0" w:line="15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 increased by $10.4 million, or 18%, for the six months ended June 30, 2025 compared to the six months ended June 30, 2024. This increase was primarily due to a $4.2 million increase in personnel-related costs as higher costs attributable to incremental head count were partially offset by a $0.3 million decrease in stock-based compensation expense, an increase of $1.4 million in bad debt expense driven by our revenue growth, and a $4.8 million increase in other related general and administrative expenses.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50"/>
        </w:trPr>
        <w:tc>
          <w:tcPr>
            <w:tcW w:w="65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60"/>
        </w:trPr>
        <w:tc>
          <w:tcPr>
            <w:tcW w:w="6540" w:type="dxa"/>
            <w:vAlign w:val="bottom"/>
          </w:tcPr>
          <w:p>
            <w:pPr>
              <w:spacing w:after="0"/>
              <w:rPr>
                <w:sz w:val="13"/>
                <w:szCs w:val="13"/>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1"/>
        </w:trPr>
        <w:tc>
          <w:tcPr>
            <w:tcW w:w="7460" w:type="dxa"/>
            <w:vAlign w:val="bottom"/>
            <w:gridSpan w:val="2"/>
            <w:shd w:val="clear" w:color="auto" w:fill="CCEEFF"/>
          </w:tcPr>
          <w:p>
            <w:pPr>
              <w:jc w:val="right"/>
              <w:ind w:right="5703"/>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15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Interest and other income, net decreased by $3.3 million for the six months ended June 30, 2025 compared to the six months ended June 30, 2024, primarily due to a decrease in investment income, partially offset by an increase in interest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50"/>
        </w:trPr>
        <w:tc>
          <w:tcPr>
            <w:tcW w:w="65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0"/>
        </w:trPr>
        <w:tc>
          <w:tcPr>
            <w:tcW w:w="6580" w:type="dxa"/>
            <w:vAlign w:val="bottom"/>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5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24"/>
        </w:trPr>
        <w:tc>
          <w:tcPr>
            <w:tcW w:w="6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1"/>
        </w:trPr>
        <w:tc>
          <w:tcPr>
            <w:tcW w:w="7480" w:type="dxa"/>
            <w:vAlign w:val="bottom"/>
            <w:gridSpan w:val="2"/>
            <w:shd w:val="clear" w:color="auto" w:fill="CCEEFF"/>
          </w:tcPr>
          <w:p>
            <w:pPr>
              <w:jc w:val="right"/>
              <w:ind w:right="5883"/>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15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2025, we recorded a provision for income taxes of $21.4 million, as compared to a provision for income taxes of $14.2 million for the six months ended June 30, 2024, primarily due to higher operating profit as well as a decrease in tax benefits for equity compensation, including discrete tax benefits, in the current year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As of June 30, 2025, we had $132.5 million of cash and cash equivalents and $172.6 million of marketable securities. We have financed our operations primarily through sales of our solutions and the net proceeds we have received from sales of equity securities.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5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July 1, 2025, we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a maximum aggregate amount of $200 million, subject to customary borrowing conditions, until its maturity on July 1, 2030. As of the date of this filing, no amounts were drawn under the Facility. Refer to Note 12, to the Consolidated Financial Statements included in this Quarterly Report on Form 10-Q for additional information.</w:t>
      </w:r>
    </w:p>
    <w:p>
      <w:pPr>
        <w:spacing w:after="0" w:line="13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We believe that our existing cash and cash equivalents, including the proceeds from our marketable securities, cash flow from operations, and the availability of funds under our revolving credit facility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amount of capital investment necessary to support our benefits offerings and growth strategy, the expansion of our sales and marketing activities and the continuing market adoption of our solutions. In addition, we may enter into arrangements to acquire or invest in complementary businesses, products, and technologies.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may, in the future,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200" w:lineRule="exact"/>
        <w:rPr>
          <w:sz w:val="20"/>
          <w:szCs w:val="20"/>
          <w:color w:val="auto"/>
        </w:rPr>
      </w:pP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cash flows from operations for the periods presented:</w:t>
      </w:r>
    </w:p>
    <w:p>
      <w:pPr>
        <w:spacing w:after="0" w:line="199"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1"/>
          <w:szCs w:val="11"/>
          <w:b w:val="1"/>
          <w:bCs w:val="1"/>
          <w:color w:val="auto"/>
        </w:rPr>
        <w:t>Six Months Ended</w:t>
      </w:r>
    </w:p>
    <w:p>
      <w:pPr>
        <w:jc w:val="center"/>
        <w:ind w:left="820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24"/>
        </w:trPr>
        <w:tc>
          <w:tcPr>
            <w:tcW w:w="8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9"/>
                <w:szCs w:val="19"/>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105,318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82,426</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in) provided by investing activities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(124,525)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105,440</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in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(190,200)</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3"/>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Net cash provided by operating activities was $105.3 million for the six months ended June 30, 2025, primarily consisting of net income of $32.2 million adjusted for certain items, which includes $64.9 million of stock-based compensation expense, $11.0 million of bad debt expense, $2.3 million of depreciation and amortization, and $0.1 million of loss on disposal of property and equipment. Changes in operating assets and liabilities resulted in cash used in operating activities from increases in accounts receivable of $47.2 million, prepaid expenses and other current assets of $7.9 million, other noncurrent assets and liabilities of $1.2 million, partially offset by cash provided by operating activities from increases in accounts payable of $45.2 million and accrued expenses and other current liabilities of $5.9 million. These changes were a result of the impact of revenue growth and our operating results as well as the timing of cash collections and payments to third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parties, including $24.3 million of cash paid for income taxes, net of refunds received for the period ended June 30, 2025.</w:t>
      </w:r>
    </w:p>
    <w:p>
      <w:pPr>
        <w:spacing w:after="0" w:line="17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Net cash provided by operating activities was $82.4 million for the six months ended June 30, 2024, primarily consisting of net income of $33.4 million adjusted for certain items, which include $64.1 million of stock-based compensation expense, $9.6 million of bad debt expense, $7.0 million of net accretion of discounts on marketable securities, $5.5 million of deferred tax expense, and $1.5 million of depreciation and amortization. Changes in operating assets and liabilities resulted in cash used in operating activities from increases in accounts receivable of $61.5 million, partially offset by cash provided by operating activities from increases in accounts payable of $26.4 million, accrued expenses and other current liabilities of $8.9 million, and other noncurrent assets and liabilities of $0.4 million as well as a decrease in prepaid expenses and other current assets of $1.3 million. These changes were a result of the impact of revenue growth and our operating results as well as the timing of cash collections and payments to third parties, including $17.3 million of cash paid for income taxes, net of refunds received in the six months ended June 30,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Net cash used in investing activities was $124.5 million for the six months ended June 30, 2025 which primarily consisted of net investments in marketable securities of $107.1 million and $9.3 million of cash used in a business acquisition, net of cash acquired. The remainder of the activity consisted of purchases of computers, software, including capitalized software development costs, leasehold improvements, and furniture and fixtures. For the six months ended June 30, 2024, net cash provided by investing activities was $105.4 million which primarily consisted of net investments from marketable securities of $112.5 million, partially offset by $5.3 million used for a business acquisition, net of cash acquired. The remainder of the activity consisted of purchases of computers, software, including capitalized software development costs, and leasehold improvements. Our capital investments, including investments in technology and the development of software, are expected to increase over the next 12 months as we continue to invest in our benefits offerings and growth strategy.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was $5.6 million for the six months ended June 30, 2025, consisting of payments of $6.2 million for employee taxes related to equity awards, partially offset by $0.6 million in proceeds from contributions to our employee stock purchase plan.</w:t>
      </w:r>
    </w:p>
    <w:p>
      <w:pPr>
        <w:spacing w:after="0" w:line="12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was $190.2 million for the six months ended June 30, 2024, consisting of repurchases of $183.7 million of common stock under the February 2024 and May 2024 share repurchase programs and payments of $8.2 million for employee taxes related to equity awards, partially offset by $1.0 million in proceeds from stock option exercises and $0.7 million in proceeds from contributions to our employee stock purchase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Programs</w:t>
      </w:r>
    </w:p>
    <w:p>
      <w:pPr>
        <w:spacing w:after="0" w:line="170"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In February 2024, our Board of Directors authorized a share repurchase program of up to $100 million in shares of common stock. In May 2024, our Board of Directors authorized an additional share repurchase program of up to $100 million in shares of common stock. In August 2024, our Board of Directors authorized an additional share repurchase program of up to $100 million in shares of common stock. As of the year ended December 31, 2024, the share repurchase programs were completed, and no amounts remained available for repurchase under the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 Commitments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February 2022, we entered into a lease agreement for leases commencing in February 2023 and March 2025 for additional space in our corporate offices in New York, New York, consisting of a 24,099 square foot office and a 21,262 square foot office, respectively. The lease agreement also provides for continued occupancy of the 25,212 square foot office after the expiration of the current sublease. For the 24,099 square foot office, we pay the base rent of approximately $1.4 million per year through the end of the fifth year and approximately $1.5 million per year thereafter through April 2036, the expiration date. For the 21,262 square foot office, we will pay the base rent of approximately $1.3 million per year starting in the April 2026 through the end of the fifth year and approximately $1.4 million per year thereafter through the April 2036, the expiration date. For our current 25,212 square foot office, we will pay the base rent of approximately $1.6 million per year beginning in June 2029 through the April 2036, the expiration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additional information about our critical accounting policies and estimates, see the disclosure included in our Annual Report on Form 10-K as well as "Financial Statements (Unaudited)</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For a full discussion of recently adopted accounting pronouncements, see "Financial Statements (Unaudited) —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rate risk is highly sensitive due to many factors, including U.S. monetary and tax policies, U.S. and international economic factors and other factors beyond our control.</w:t>
      </w:r>
    </w:p>
    <w:p>
      <w:pPr>
        <w:spacing w:after="0" w:line="1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At June 30, 2025, we had cash and cash equivalents of $132.5 million and marketable securities of $172.6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 change in interest rates would not result in a material impact on our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 Rate Risk</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Effectiveness of Controls and Procedures</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June 30,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that term is defined in Rules 13a-15(f) and 15d-15(f) under the Exchange Act) that occurred during the quarter ended June 30, 2025 that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Part I, Item 1 “Financial Statements (Unaudited) — Note 6 — Commitments and Contingencies.”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The risks and uncertainties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meet our publicly announced guidance or other expectations about our business and future results of operations, which would cause our stock price to decline.</w:t>
      </w:r>
    </w:p>
    <w:p>
      <w:pPr>
        <w:spacing w:after="0" w:line="18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We have provided, and may continue to provide, guidance about our business and future results of operations. On August 7, 2025, we issued guidance for the third quarter of 2025 and full year 2025. Our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guidance, our management must make certain assumptions and judgments about, among other things, our business strategy, plans, and goals; expectations concerning our market position and future operations; and other financial and operating information, as well as the impact of events beyond our control, such as macroeconomic conditions, shortages of fertility medications or trends in utilization or consumption, that are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consensus due to a number of factors, many of which are outside of our control and which could adversely affect our business and future results of operations. In addition,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in which we operate is highly competitive, and, if we do not continue to compete effectively, our business, financial condition and results of operations could be harmed.</w:t>
      </w:r>
    </w:p>
    <w:p>
      <w:pPr>
        <w:spacing w:after="0" w:line="202"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We operate in a highly competitive market and compete on the basis of several factors, including: the value and comprehensiveness of our solutions and the Smart Cycle (our unique approach to benefits plan design that ensures that members always have coverage for a full treatment cycle as their access to treatment is not limited by a dollar maximum that could be exhausted mid-treatment), superior outcomes, access for all employee groups and covered dependents, equitable access to care across geographic areas, quality of the member experience and comprehensive member support, access to our selective Center of Excellence network of high-quality fertility specialists, data reporting and analysis and access to an integrated pharmacy solution. While we do not believe any single competitor offers similarly robust and integrated fertility and family building benefits solutions, there are alternative solutions in the market offered by health insurance companies, entities owned or sponsored by health insurance companies, and venture capital or private equity-backed companies that focus on maternity and reproductive health services more broadly or that provide fertility-specific benefits solutions.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As we market our solutions to potential clients that currently utilize other fertility benefits vendors,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develop or integrate solutions and services that may be more efficient or appealing to our existing and potential clients. For example, fertility-focused PBMs could emerge that would compete with Progyny Rx. In addition, we believe one of our key competitive advantages is our purpose-built, data-driven platform. While we do not believe any competitors have developed a similarly robust data collection, sharing and reporting process at this time, current or future competitors may be successful in doing so in the future.</w:t>
      </w:r>
    </w:p>
    <w:p>
      <w:pPr>
        <w:spacing w:after="0" w:line="162"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As the market in which we operate matures and more competitors enter the market and introduce differentiated solutions or services that compete with our solutions, our success depends on our ability to: compete effectively in our market, identify and effectively respond to changes in market dynamics and client and member preferences, maintain or increase our market share, and differentiate our offerings by innovating and delivering products and services that provide enhanced value to our clients and members. As we market our solutions to existing and potential clients, we must convince them that our solutions and our model are superior to our competitors. As a result of these and other factors, we may be unable to continue to compete successfully, which would have an adverse effect on our business, financial condition and results of operations.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declining market share, which would harm our business, financial condition and results of operations.</w:t>
      </w:r>
    </w:p>
    <w:p>
      <w:pPr>
        <w:spacing w:after="0" w:line="17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In addition, many healthcare industry participants are consolidating to create larger and more integrated healthcare delivery systems with greater market power, and we expect regulatory and economic conditions to result in additional consolidation in the healthcare industry. Financial investors are acquiring fertility practices, and this may accelerate consolidation within the fertility industry. Although comprehensive, our solution is a standalone fertility benefit, and clients may prefer a single healthcare solution, which could adversely affect our ability to retain existing clients or grow our client base. We work with partner organizations to market our benefit to potential clients. As consolidation accelerates, the economies of scale of our partner organizations may grow. If a partner experiences sizable growth following consolidation, it may determine that it no longer needs to rely on us and may reduce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also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conditions in the global economy or our industry could limit our ability to grow our business and negatively affect our results of operations.</w:t>
      </w:r>
    </w:p>
    <w:p>
      <w:pPr>
        <w:spacing w:after="0" w:line="17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4"/>
          <w:szCs w:val="14"/>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tariffs, export controls and other trade barriers, global trade wars or domestic preferences, geopolitical conflict, political turmoil, natural catastrophes, epidemics, pandemics or outbreaks of contagious diseases, warfare and terrorist attacks, could cause a decrease in business investments, including spending on employee benefits, and negatively affect the growth of our business. In addition,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Unfavorable changes in our industry, including reductions in general healthcare spending, or in the United States and global economy could have a negative effect on our and our existing clients’ and potential clients’ results of operations. This could result in the delay or cancellation by certain clients, including if adoption of our solutions are perceived by existing clients and potential clients to be discretionary, if they experience a reduction in their employee headcount, whether due to reductions in force or turnover, or are unable to grow employee headcount or there are material defaults by members on past amounts due. An increase in the cost of obtaining fertility medication or general medical cost inflation could also negatively impact our results of operations. In addition, the increased pace of consolidation in the healthcare industry may result in competitors with greater market power, which may adversely affect our ability to retain existing clients and attract new clients.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15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The global economy has also been impacted by geopolitical tensions. There is currently significant uncertainty about future trade relationships between the United States and various other countries. Further escalation of specific trade tensions, or more broadly in global trade conflicts, could materially and adversely affect the Company’s business and operations. The U.S. government and other governments may impose tariffs on certain pharmaceutical drugs and their components that may impact pharmaceutical imports into the United States, and we, our customers, suppliers, and our pharmacy program partners may then become subject to additional tariffs and adverse business impacts. If we are not successful in mitigating the impact of tariffs, trade barriers, and other geopolitical disruptions, our business revenue, gross margins, results of operations and financial condition may be adversely affected.</w:t>
      </w:r>
    </w:p>
    <w:p>
      <w:pPr>
        <w:spacing w:after="0" w:line="15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part of our growth strategy, we are focused on retaining and expanding our services within our existing client base. Our clients can expand the benefits they offer their employees in a number of ways, including by adding egg freezing, increasing the number of Smart Cycle units, and adding our Progyny Rx solution or any of our other solutions and services. We went live with Progyny Rx in 2018 and 91% of our current clients have now launched this solution, including approximately 95% of the clients we signed in 2024.</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that may affect our ability to retain our existing clients and sell additional solutions to them include, but are not limited to, the following:</w:t>
      </w:r>
    </w:p>
    <w:p>
      <w:pPr>
        <w:spacing w:after="0" w:line="179"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timeliness and outcomes of our solutions;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price, timeliness, outcomes, performance and functionality of competing solutions;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appropriately expand our Center of Excellence network of high-quality fertility specialists;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offer complementary solutions and services that will enhance our comprehensive fertility and family building offering;</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healthcare laws and regulations, the enforcement of such laws and regulations, or healthcare trends;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conditions, including any material increase in unemployment rates, and the business environment of our clients and, in particular, slowing growth or reduction in our clients’ headcount or spending on employee benefits; and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 of our clients, resulting in a change to their benefits program or a shift to one of our competitors.</w:t>
      </w:r>
    </w:p>
    <w:p>
      <w:pPr>
        <w:spacing w:after="0" w:line="17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2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currently have contracts to serve over 540 employers with at least 1,000 covered lives in the United States across more than 40 industries. For the six months ended June 30, 2025, no client accounted for more than 10% of our total revenue. For the six months ended June 30, 2024, one of our clients accounted for 11% of our total revenue (the “Client”). In the third quarter of 2024, we were notified that the Client elected to exercise a 90-day option to terminate its services agreement, effective as of January 1, 2025.</w:t>
      </w:r>
    </w:p>
    <w:p>
      <w:pPr>
        <w:spacing w:after="0" w:line="168"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impact our long-term growth.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clients, our business, financial condition and results of operations would be adversely affected.</w:t>
      </w:r>
    </w:p>
    <w:p>
      <w:pPr>
        <w:spacing w:after="0" w:line="19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4"/>
          <w:szCs w:val="14"/>
          <w:color w:val="auto"/>
        </w:rPr>
        <w:t>To increase our revenue, we must continue to attract new clients. Our ability to do so depends in large part on the success of our sales and marketing efforts and our ability to attract industry leaders in diversified sectors, which could prompt others in the same sectors to follow suit in order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high unemployment rates, reductions in workforce or employee attrition, impacts related to epidemics, pandemics, and outbreaks of contagious diseases, a decrease in business investments, including spending on employee benefits, and other factors. If the market for our solutions declines or grows more slowly than we expect, or if the number of clients that contract with us for our solutions declines or fails to increase as we expect, our financial results could be adversely impacted.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significant change in the utilization of our fertility solutions, including the consumption rate or the mix of utilization, could have an adverse effect on our business, financial condition and results of operations.</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cannot control or predict the consumption rate of our solutions or the mix of utilization of our solutions by our clients, in particular as it relates to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downturns that result in business failures and high unemployment rates; impacts related to public health emergencies; employers no longer offering comprehensive health coverage or offering alternative solutions such as coverage on a voluntary, employee-funded basis; labor shortages at our provider clinics; changes to the taxability of medical benefits; failure to adapt and respond effectively to changes in the medical landscape, laws, regulations and government enforcement priorities, or client and member needs, requirements or preferences; premium increases and benefits changes; or negative publicity.</w:t>
      </w:r>
    </w:p>
    <w:p>
      <w:pPr>
        <w:spacing w:after="0" w:line="1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It is also difficult for us to control or predict the consumption rate or mix of utilization of our solutions at the member level. If the actual utilization of our solutions by members is significantly greater than budgeted, our clients may be responsible for costs that exceed their planned expenditure. If we cannot help our clients accurately predict rate of consumption by their</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color w:val="auto"/>
        </w:rPr>
        <w:t>employees, our clients may turn to alternative solutions, and our business and profitability would be adversely impacted. In addition, higher clinical success rates and other factors could also impact timing and treatment paths, which may result in lower revenue per utilizing member.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4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From time to time, we may acquire or invest in businesses, joint ventures, products and services, or technologies that we believe could complement or expand our solutions, enhance our technical capabilities, or otherwise offer growth opportunities. For example, we acquired Apryl GmbH, a Berlin-based fertility benefits platform, in June 2024 and Benefit Bump LLC, a comprehensive parental leave benefits navigation program for new and growing families in January 2025. We also expanded our offerings to include preconception, maternity and postpartum and menopause and midlife care solutions. We expect to make additional investments as we continue to introduce new solutions and services to enhance our comprehensive family building offering and our technology infrastructure, including systems architecture, scalability, availability, performance and security. Any such acquisition or investment may divert the attention of management and cause us to incur expenses in identifying, investigating and pursuing suitable opportunities, whether or not the transactions are completed, and may result in unforeseen operating difficulties and expenditures. In particular, we may encounter difficulties integrating the businesses, technologies, products and services, personnel or operations of any acquired companies, particularly if key personnel of an acquired company choose not to work for us, an acquired company is operationally difficult to integrate, or we have difficulty retaining the clients of any acquired business due to changes in ownership, management or otherwise. Any such transactions that we are able to complete may not result in any synergies or other benefits we had expected to achieve, which could result in impairment charges that could be substantial. In addition, certain transactions could also result in dilutive issuances of equity securities or the incurrence of debt, which could adversely affect our results of operations. If the resulting business from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with our current platform of solutions, which makes it difficult to predict our future results of operations.</w:t>
      </w:r>
    </w:p>
    <w:p>
      <w:pPr>
        <w:spacing w:after="0" w:line="1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went live with our fertility benefits solution in 2016 and Progyny Rx in 2018. As a result of our limited operating history with our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rates, increased competition, changes in healthcare trends and regulations, changes to science relating to the fertility market, a decrease in the growth of the fertility market, or our failure to anticipate and adapt to changing market trends and to take advantage of growth opportunities. If our assumptions regarding these risks and uncertainties and our future revenue growth are incorrect or change, or if we do not address these risks effectively, our operating and financial results could differ materially from our expectations, and our business could suffer.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operating losses and may not sustain profitability in the future.</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that we will have sufficient sales to sustain our growth or maintain profitability in the future. We also expect our costs and expenses to increase in future periods, which could negatively affect our future results of operations if our revenue does not increase sufficiently to cover increased costs. In particular, we expect to continue to invest in our sales and client success teams to educate potential clients and drive new client adoption, as well as expand the scope of Progyny benefits within our existing client base. We also expect to incur additional costs as we continue to introduce new solutions and services to enhance our comprehensive family building offering and our technology infrastructure, including systems architecture, scalability, availability, performance and security. We will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health benefits industry may be subject to negative publicity, which could adversely affect our business, financial condition and results of operations.</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our information technology systems, or those of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15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Our business is increasingly dependent on critical, complex and interdependent information technology systems, including cloud-based systems, to support business processes as well as internal and external communications. Therefore, our success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the third parties with whom we do business, including our provider clinics, specialty pharmacies or other vendors, experience an issue with our or their information technology systems, it may result in a disruption to our operations or downstream disruption to our relationships with our clients or our provider clinics. Additionally, if we choose to in source any of the services currently handled by a third-party vendor, it may result in technological or operational disruptions.</w:t>
      </w:r>
    </w:p>
    <w:p>
      <w:pPr>
        <w:spacing w:after="0" w:line="17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In the current environment, there are numerous and evolving risks to cybersecurity and data privacy, including criminal hackers, hacktivists, denial-of-service, ransomware, state-sponsored intrusions, industrial espionage, employee malfeasance and human or technological errors. High-profile cybersecurity breaches at other companies and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particularly in response to the COVID-19 pandemic. As a result of such shift, there have been, and may continue to be, more targeted cyberattacks and threats on us, our vendors, provider clinics and specialty pharmacies. Despite the implementation of security measures, including steps designed to secure our technology infrastructure and sensitive data, we cannot provide assurance that our current information technology system or any updates or upgrades thereto, the current or future information technology systems of the third parties with whom we do business, including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cybersecurity breach were to result in a loss or inappropriate disclosure of confidential or proprietary information, we could incur liability. We have access to sensitive information relating to members, our employees and our business partners in the ordinary course of our business. Any failure or perceived failure by us, or our third-party vendors on our behalf, to comply with U.S. and foreign data privacy and cybersecurity laws, rules and regulations, as well as contractual commitments in this respect, may result in governmental enforcement actions,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clients and have a material adverse effect on us. We maintain cyber liability insurance, however, this insurance may not be sufficient to cover the financial, legal, business or reputational losses that may result from an interruption or breach of our systems, and we cannot be sure that such coverage will continue to be available on commercially reasonable terms or at all. To the extent such disruptions or uncertainties result in the theft, destruction, loss or misappropriation or release of our confidential data or our intellectual property, our business and results of operations could be materially and adversely affected. See “Risks Related to Legal and Regulatory Requirements—We operate in a highly regulated industry and must comply with a significant number of evolving legal and regulatory requirements, as well as complex judicial mandates, which could have an adverse impact on our business—Data Protection and Breaches.”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offer high-quality support, our reputation could suffer.</w:t>
      </w:r>
    </w:p>
    <w:p>
      <w:pPr>
        <w:spacing w:after="0" w:line="191"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to effectively develop and expand our marketing and sales capabilities could harm our ability to increase our client base and achieve broader market acceptance of the solutions we provide.</w:t>
      </w:r>
    </w:p>
    <w:p>
      <w:pPr>
        <w:spacing w:after="0" w:line="14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Our ability to increase our client base and achieve broader market acceptance of the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revenue may not grow at the rates they historically have, or at all.</w:t>
      </w:r>
    </w:p>
    <w:p>
      <w:pPr>
        <w:spacing w:after="0" w:line="19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34"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continue to attract new clients and maintain existing clients;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price our solutions and services effectively so that we are able to attract new clients, expand sales to our existing clients and maintain profitability;</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provide our clients and members with client support that meets their needs, including through dedicated PCAs;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maintain successful collection of member cost shares and other applicable receivable balances directly from members;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retain and maintain relationships with high-quality and respected fertility specialists;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attract and retain highly qualified personnel to support all clients and members;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maintain satisfactory relationships with insurance carriers; and</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increase awareness of our brand and successfully compete with other companies.</w:t>
      </w:r>
    </w:p>
    <w:p>
      <w:pPr>
        <w:spacing w:after="0" w:line="17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we expect to continue to expend substantial financial and other resources on:</w:t>
      </w:r>
    </w:p>
    <w:p>
      <w:pPr>
        <w:spacing w:after="0" w:line="188"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sales and marketing;</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our technology infrastructure, including systems architecture, scalability, availability, performance and security; and</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general administration, including increased legal and accounting expenses associated with being a public company.</w:t>
      </w:r>
    </w:p>
    <w:p>
      <w:pPr>
        <w:spacing w:after="0" w:line="17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our revenue growth does not meet our expectations in future periods, we may not maintain profitability in the future, and our business, financial position and results of operations may be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9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 in which we operate achieves the forecasted growth, our business could fail to grow at similar rates, if at all.</w:t>
      </w:r>
    </w:p>
    <w:p>
      <w:pPr>
        <w:spacing w:after="0" w:line="13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Our estimates of the market opportunity for our services are based on the assumption that the purpose-built, data-driven and disruptive fertility benefits platform with the Smart Cycle plan design we offer will continue to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2"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Additionally, in June 2022 the U.S. Supreme Court in Dobbs v. Jackson Women's Health Organization reversed Roe v. Wade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 making, executive orders, court decisions or other changes in the law, or in how such laws, once enacted, would be interpreted and enforced.</w:t>
      </w:r>
    </w:p>
    <w:p>
      <w:pPr>
        <w:spacing w:after="0" w:line="16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4"/>
          <w:szCs w:val="14"/>
          <w:b w:val="1"/>
          <w:bCs w:val="1"/>
          <w:color w:val="auto"/>
        </w:rPr>
        <w:t>.</w:t>
      </w:r>
    </w:p>
    <w:p>
      <w:pPr>
        <w:spacing w:after="0" w:line="19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experiences seasonality, which may cause fluctuations in our revenue and results of operations.</w:t>
      </w:r>
    </w:p>
    <w:p>
      <w:pPr>
        <w:spacing w:after="0" w:line="17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business experiences moderate seasonality in revenue with a slightly higher proportion of revenue during the second half of the year as compared to the first half. Given that the majority of our clients contract with us for a January 1st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4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seasonality of our business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4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To date, we have derived a substantial majority of our revenue from sales of our fertility benefits and Progyny Rx solutions. As we operate in an evolving industry and new market, our long-term results of operations and continued growth will depend on our ability to successfully develop and market new solutions and services to our clients. If our existing clients and members do not value and/or are not willing to adopt such new solutions or services, it could adversely affect our business, financial condition and results of operations. If we are unable to accurately predict clients’ or members’ preferences, if the market in which we operate changes,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spacing w:after="0" w:line="32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adapt and respond effectively to the changing medical landscape, changing laws, regulations and government enforcement priorities, and changing client needs, requirements or preferences, our offerings may become less competitive.</w:t>
      </w:r>
    </w:p>
    <w:p>
      <w:pPr>
        <w:spacing w:after="0" w:line="13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and enhance our brand, our ability to expand our client base will be impaired, and our business, financial condition and results of operations may suffer.</w:t>
      </w:r>
    </w:p>
    <w:p>
      <w:pPr>
        <w:spacing w:after="0" w:line="19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retain members of our management team or other key employees or fail to attract additional qualified personnel, our business and future growth may be negatively impacted.</w:t>
      </w:r>
    </w:p>
    <w:p>
      <w:pPr>
        <w:spacing w:after="0" w:line="191"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Our success and future growth depend, in part, on the continued services of our management team and other key employees as well as our ability to continue to identify, attract, and retain additional highly-qualified personnel. Competition for talent is intense, and many of the companies with which we compete for talent have greater resources than we do. There is no guarantee that we will be able to attract such personnel on terms that are favorable to us or at all. In addition, our management team and other key employees are employed on an at-will basis, which means that these personnel could terminate their employment with us at any time. If we fail to retain one or more members of our management team or other key employees, or fail to attract and retain new personnel, our business and future growth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litigation against us could be costly and time-consuming to defend and could harm our business, financial condition and results of operations.</w:t>
      </w:r>
    </w:p>
    <w:p>
      <w:pPr>
        <w:spacing w:after="0" w:line="19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 insured could result in unanticipated costs, including negative publicity, regardless of whether the allegations are valid or we are ultimately liable, which could damage our reputation and have a material adverse impact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credit risk from our members.</w:t>
      </w:r>
    </w:p>
    <w:p>
      <w:pPr>
        <w:spacing w:after="0" w:line="19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collect co-payments, co-insurance and deductibles directly from our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with government entities is subject to a number of challenges and risks.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 revised certification. Government demand and payment for our offerings are dependent on many factors beyond our control, including general economic conditions, public sector budgetary constraints and funding authorizations, and general political priorities, with funding reductions or delays adversely affecting public sector demand for our offerings.</w:t>
      </w:r>
    </w:p>
    <w:p>
      <w:pPr>
        <w:spacing w:after="0" w:line="15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enforce our intellectual property rights could impair our ability to protect our proprietary technology and our brand.</w:t>
      </w:r>
    </w:p>
    <w:p>
      <w:pPr>
        <w:spacing w:after="0" w:line="18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Our success depends in part on our ability to protect our brand, trade secrets and confidential information, including unpatented know-how, technology and other proprietary information, and maintaining, defending and enforcing our intellectual property rights. We rely on our agreements with our clients, non-disclosure and confidentiality agreements with employees and third parties, and our trademarks, trade secrets, and copyrights to protect our intellectual property rights. However, any of these parties may breach such agreements and disclose our confidential or proprietary information, and we may not be able to obtain adequate remedies for such breaches. In addition, we may not be able to detect or prevent the unauthorized use of such information or take appropriate and timely steps to protect and enforce our intellectual property rights.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dilution or other violations of our intellectual property. Any litigation and any infringement, misappropriation, dilution or other violations of our intellectual property could hinder our ability to market and sell our solutions, and our business, financial condition and results of operations could be adversely affected.</w:t>
      </w:r>
    </w:p>
    <w:p>
      <w:pPr>
        <w:spacing w:after="0" w:line="18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a third-party's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from their normal responsibilities.</w:t>
      </w:r>
    </w:p>
    <w:p>
      <w:pPr>
        <w:spacing w:after="0" w:line="17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Moreover, although we take measures to ensure that our employees do not use the confidential or proprietary information or know-how of others in their work for us, we may be subject to claims that we or these employees have used or disclosed intellectual property, including trade secrets or other confidential or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5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Furthermore, we currently own registered trademarks.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need to continue to build name recognition with potential partners or clients in our markets of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utilize a portion of our net operating loss carryforwards, which could adversely affect our profitability.</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affect the use of our net operating loss carryforwards or other tax attributes existing at the time of the ownership change, which could adversely affect our profitability.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effective tax rate or tax liabilities may have an adverse effect on our results of operations.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effective tax rate could be impacted due to several factors, including, but not limited to:</w:t>
      </w:r>
    </w:p>
    <w:p>
      <w:pPr>
        <w:spacing w:after="0" w:line="188"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relative amounts of income before taxes in the various jurisdictions in which we operate that have differing statutory tax rates;</w:t>
      </w:r>
    </w:p>
    <w:p>
      <w:pPr>
        <w:spacing w:after="0" w:line="187" w:lineRule="exact"/>
        <w:rPr>
          <w:rFonts w:ascii="Arial" w:cs="Arial" w:eastAsia="Arial" w:hAnsi="Arial"/>
          <w:sz w:val="17"/>
          <w:szCs w:val="17"/>
          <w:color w:val="auto"/>
        </w:rPr>
      </w:pPr>
    </w:p>
    <w:p>
      <w:pPr>
        <w:ind w:left="520" w:hanging="260"/>
        <w:spacing w:after="0" w:line="231" w:lineRule="auto"/>
        <w:tabs>
          <w:tab w:leader="none" w:pos="516"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tax laws, tax treaties, or regulations or the interpretation of them (such as the One Big Beautiful Bill Act, which, among other changes, makes permanent the immediate expensing of certain domestic research and development costs and 100% bonus depreciation for eligible property);</w:t>
      </w:r>
    </w:p>
    <w:p>
      <w:pPr>
        <w:ind w:left="520" w:hanging="260"/>
        <w:spacing w:after="0" w:line="221" w:lineRule="auto"/>
        <w:tabs>
          <w:tab w:leader="none" w:pos="516"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56" w:lineRule="exact"/>
        <w:rPr>
          <w:rFonts w:ascii="Arial" w:cs="Arial" w:eastAsia="Arial" w:hAnsi="Arial"/>
          <w:sz w:val="17"/>
          <w:szCs w:val="17"/>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future tax audits, examinations, or administrative appeals;</w:t>
      </w:r>
    </w:p>
    <w:p>
      <w:pPr>
        <w:spacing w:after="0" w:line="18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limitations or adverse findings regarding our ability to do business in some jurisdictions; and</w:t>
      </w:r>
    </w:p>
    <w:p>
      <w:pPr>
        <w:spacing w:after="0" w:line="187" w:lineRule="exact"/>
        <w:rPr>
          <w:rFonts w:ascii="Arial" w:cs="Arial" w:eastAsia="Arial" w:hAnsi="Arial"/>
          <w:sz w:val="17"/>
          <w:szCs w:val="17"/>
          <w:color w:val="auto"/>
        </w:rPr>
      </w:pPr>
    </w:p>
    <w:p>
      <w:pPr>
        <w:ind w:left="520" w:right="4020" w:hanging="260"/>
        <w:spacing w:after="0" w:line="504" w:lineRule="auto"/>
        <w:tabs>
          <w:tab w:leader="none" w:pos="516"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discrete impact tax items, including items resulting from the amount and timing of equity exercises and our stock price. Any of these factors could have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U.S. state tax authorities may assert that we have a state nexus and seek to impose state and local taxes, which could adversely affect our results of operations.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currently file tax returns in certain states. There is a risk that certain state tax authorities, where we do not currently file a tax return, could assert that we are liable for state and local taxes based on income or gross receipts allocable to such states. States are becoming increasingly aggressive in asserting a nexus for state tax purposes. We could be subject to state and local taxation, including penalties and interest attributable to prior periods, if a state tax authority where we do not currently file a state tax return successfully asserts that our activities give rise to a taxable nexus. Such tax assessments, penalties and interest may adversely affect our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reported financial results may be adversely affected by changes in accounting principles generally accepted in the United States.</w:t>
      </w:r>
    </w:p>
    <w:p>
      <w:pPr>
        <w:spacing w:after="0" w:line="20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including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the notes to the consolidated financial statements of this Quarterly Report on Form 10-Q for additional information on recently issued but not yet adopted accounting standards.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results of operations could be adversely affected.</w:t>
      </w:r>
    </w:p>
    <w:p>
      <w:pPr>
        <w:spacing w:after="0" w:line="19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Relationships with Third Parties</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44"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Our success is dependent upon our continued ability to maintain a selective Center of Excellence, our proprietary, credentialed network of high-quality fertility specialists. Fertility specialists and our other network providers could refuse to continue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contractual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in a profitable manner. If we are not successful in maintaining our relationships with top fertility specialists, they may refuse to renew their contracts with us, and potential competitors may be effective in onboarding these or other high-quality fertility specialists to create a similar high-quality network. Any of these events could have a material adverse effect on our operations and the provision of services to our members.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beyond our control, such as legal and regulatory changes, including changes in government enforcement priorities, impacting providers or consolidation activity among hospitals, physician groups and healthcare providers. In addition, in some markets and geographic areas,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as well as the competitive landscape. Such organizations or groups of healthcare providers may compete directly with us, which could force us to incur costs to change our business operations, adversely impact our relationships with our providers, or affect how we price our products and estimate our costs, all of which could adversely affect our results of operations, financial position, and cash flows.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6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From time to time, our network providers may assert, or threaten to assert, claims seeking to terminate our contractual arrangements. If enough provider agreements are terminated, such terminations could adversely impact the adequacy of our network to service our members and adversely impact our ability to market our solutions.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6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The perceived value of our solutions and our reputation may be negatively impacted if the services provided by one or more of our fertility specialists or another network healthcare provider are not satisfactory to our members, including as a result of provider error, which could result in litigation. For example, if a provider within our network experiences an issue with its cryopreservation techniques or releases sensitive member information, it could result in us incurring substantial additional expenses, expose us to public scrutiny, adversely affect our brand and reputation, expose us to litigation and/or regulatory action, and otherwise make our operations vulnerable. In addition, if a fertility specialist provides services that result in less than favorable outcomes, this could cause us to fail to meet our contractually guaranteed performance metrics, and we could be obligated to provide the affected client with a fee reduction. The failure to maintain our selective network of high-quality fertility specialists and other healthcare providers, or the failure of such providers to meet and exceed our members’ expectations, may result in a loss of or inability to grow or maintain our client base, which could adversely affect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growth depends in part on the success of our strategic relationships with, and monitoring of, third parties, including channel partners and vendors, as well as insurance carriers.</w:t>
      </w:r>
    </w:p>
    <w:p>
      <w:pPr>
        <w:spacing w:after="0" w:line="20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In order to grow our business, we anticipate that we will continue to depend on our relationships with third parties, including channel partners, vendors and insurance carriers, among others. As the fertility industry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5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In addition, our arrangements with such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efficient pharmacy distribution network or if there is a disruption to our network of specialty pharmacies or their supply chains or business economics, our business, financial condition and results of operations could suffer.</w:t>
      </w:r>
    </w:p>
    <w:p>
      <w:pPr>
        <w:spacing w:after="0" w:line="14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timely delivery of fertility medication is essential for fertility treatments. If medication is delivered late or becomes unavailable, it may result in postponement of a member’s treatment cycle and member dissatisfaction with our solutions. We believe that our ability to continue to maintain and grow the adoption of Progyny Rx by our clients is highly dependent on our success in maintaining an efficient pharmacy distribution network and our on-time delivery record. The specialty pharmacies in our network could refuse to contract with us, demand higher drug pricing or take other actions in response to industry actions that could result in higher medical costs or less attractive services for our members thereby limiting our commercial opportunities.</w:t>
      </w:r>
    </w:p>
    <w:p>
      <w:pPr>
        <w:spacing w:after="0" w:line="17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In addition, specialty pharmacies could face supply chain issues or regulatory delays impacting the availability or distribution of certain fertility medication requiring drug substitutions that could result in higher medical costs or negatively impact our revenues, rebates and results of operations. We do not control the pricing strategies or supply chains of our specialty pharmacy partners, each of which may be impacted by general economic considerations, including inflation and other independent considerations and drivers beyond our control, and each of which has the ability to set or impact market price for different prescription medications. We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1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3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We maintain contractual relationships with select pharmacy program partners, which provide us access to limited distribution specialty pharmaceutical rebates for drugs we purchase. While we have contractual relationships with such pharmacy program partners, they in turn often negotiate complex, multi-national and multi-party pricing structures with other industry participants, and we have no control over the policies and strategies utilized in negotiating these pricing structures. Such structures may set or significantly impact market prices for prescription drugs that we purchase and the associated rebates for such drugs. Pharmacy program partners generally direct medication pricing by setting medication list prices and offering rebates and/or discounts for their medications. Various market considerations, such as the number of competitor medications, the availability of fertility medications and alternative treatment options, negotiated rates among industry participants, cost to import, and distribution of materials and finished products, 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shortages of drugs provided by such manufacturers, the termination or material alteration of our contractual relationships, or our failure to renew such contracts on favorable terms could also have a material adverse effect on our business and results of operations.</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marketing efforts depend on our ability to maintain our relationships with benefits consultants and receive positive references from our existing clients, channel partners and benefit consultants.</w:t>
      </w:r>
    </w:p>
    <w:p>
      <w:pPr>
        <w:spacing w:after="0" w:line="1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benefits consultants, our marketing efforts, business and profitability would be adversely impacted.</w:t>
      </w:r>
    </w:p>
    <w:p>
      <w:pPr>
        <w:spacing w:after="0" w:line="1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Our marketing efforts also depend significantly on our ability to call on our current clients, channel partners and benefits consultants to provide positive references to new, potential clients. Given our limited number of long-term clients, the loss or dissatisfaction of any client, channel partnership or benefit consulting relationship could substantially harm our brand and reputation, inhibit the adoption of our offering and impair our ability to attract new clients and retain existing clients. Any of these consequences could have an adverse effect on our business, financial condition and results of operations.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Legal and Regulatory Requirements</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operate in a highly regulated industry and must comply with a significant number of new and evolving legal and regulatory requirements, as well as complex judicial mandates, which could have an adverse impact on our business.</w:t>
      </w:r>
    </w:p>
    <w:p>
      <w:pPr>
        <w:spacing w:after="0" w:line="14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We have structured our operations to comply with all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changes in law or future determinations by a court or agency that our corporate structure, solutions or services violate, or cause our clients or network partners to violate, applicable laws, regulations or other requirements could subject us or our clients to significant administrative, civil or criminal penalties. Such changes may also impact our ability to offer our products in the same manner to our clients, which may require us to change, reduce, or terminate portions of our business, disqualify us from serving clients in certain states or clients that do business with government entities, or to refund some or all of our service fees or otherwise compensate our clients.</w:t>
      </w:r>
    </w:p>
    <w:p>
      <w:pPr>
        <w:spacing w:after="0" w:line="16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are unable to predict how new legislation, regulation, judicial action or executive action will ultimately impact the healthcare industry at large or our business and our relationships with existing and future clients, insurance carriers, and healthcare providers in particular. We also cannot predict the timing or impact of any future rule making, court decisions or other changes in law. If we are unable to comply with new laws and regulations or provide adequate assistance to our clients who may be subject to such laws or regulations, or if such changes impact our current business model and operations, we may be exposed to litigation or other government action and our business, financial condition and results of operations may be adversely impacted.</w:t>
      </w:r>
    </w:p>
    <w:p>
      <w:pPr>
        <w:spacing w:after="0" w:line="170"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In addition, failure to comply with laws, regulations or other requirements could adversely affect demand for our solutions and force us to expend significant capital, research and development and other resources to address such failure. Even an unsuccessful challenge by regulatory, judicial and other authorities or parties could be expensive and time-consuming; could result in loss of business, exposure to negative publicity, and injury to our reputation; and could adversely affect our ability to retain and attract clients. If we fail to comply with applicable laws, regulations and other requirements, including, but not limited to the following, our business, financial condition and results of operations could be adversely affected and require significant investment to address, which may be costly. For more information on regulations affecting our business, see “Business—Government Regulation” in Part I, Item 1. Business of our Annual Report on Form 10-K.</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Changes in State and Federal Laws Related to Reproductive Rights and Fertility Benefits</w:t>
      </w:r>
    </w:p>
    <w:p>
      <w:pPr>
        <w:spacing w:after="0" w:line="202"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State and federal legislation has been adopted or proposed that would impact our business operations, products, and solutions. In the absence of overarching federal law, states are increasingly proposing or adopting laws that directly or indirectly impact our operations. We cannot predict which laws will ultimately be adopted, and whether, and to what extent, such laws will impact our ability to maintain our current operations. Such laws could have a material adverse effect on our business and results of operations. In addition, a patchwork of state laws and mandates could impact our ability to offer a uniform and streamlined benefit across states, which could reduce efficiency across our business operations and adversely impact our financial performance and our ability to grow in such states.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Licensing Requirements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Many states have licensure or registration requirements for entities acting as a third party administrator, TPA, or pharmacy benefit manager, or PBM. We are licensed, are exempt from licensure or registration, or believe that we are otherwise authorized in the states where we provide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including monetary penalties and corrective action plans, the suspension of a license, or the loss of a license, all of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Certain states also impose licensing requirements on entities that provide utilization review services. We are licensed, are exempt from licensure or registration, or believe that we are otherwise authorized in the states where we provide utilization review services. However, we are unable to predict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help manage our compliance, and paying additional regulatory fees or penalties, which could adversely affect our results of operations. We may need to cease operations until we are able to obtain appropriate licensure, which may adversely affect our revenue for a period of time that we cannot estimate.</w:t>
      </w:r>
    </w:p>
    <w:p>
      <w:pPr>
        <w:spacing w:after="0" w:line="17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In addition, we employ PCAs to support and guide our members. Our PCAs do not provide any licensed healthcare services, and in turn, are not licensed by any regulatory body to provide such services. We otherwise do not employ individuals to provide any healthcare services requiring licensure. If a professional board in any state determines that the services provided by our PCAs require a license, we may need to conduct additional training and credentialing, replace personnel, obtain additional insurance, pay increased salaries, and suspend PCA services while our personnel obtain the necessary licensure, which may adversely affect our results of operations, our relationships with our clients and members, and cause us to be in breach of our contractual arrangements.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HIPAA Privacy and Security Requirements</w:t>
      </w:r>
    </w:p>
    <w:p>
      <w:pPr>
        <w:spacing w:after="0" w:line="19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When acting as a “Business Associate” under the Health Insurance Portability and Accountability Act of 1996, as amended, or HIPAA, to the extent permitted by applicable privacy regulations and our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If we, or any of our downstream Business Associates, are unable to properly protect the privacy and security of protected health information entrusted to us, we could be in breach of contractual arrangements with our clients and be subject to investigation by the Department of Health and Human Services Office for Civil Rights, or OCR. In the event the OCR finds that we have failed to comply with applicable HIPAA privacy and security standards, we could face civil and criminal penalties.</w:t>
      </w:r>
    </w:p>
    <w:p>
      <w:pPr>
        <w:spacing w:after="0" w:line="16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In addition, OCR performs compliance audits of Covered Entities and Business Associates in order to proactively enforce the HIPAA privacy and security standards. The OCR has become an increasingly active regulator and has signaled its intention to continue this trend. The OCR has the discretion to impose penalties and may require companies to enter into resolution agreements and corrective action plans, which impose ongoing compliance requirements. The OCR enforcement activity, or a third-party audit related to a HIPAA incident regarding us or a downstream Business Associate, can result in financial liability and reputational harm, and responses to such enforcement activity can consume significant internal resources. In addition to enforcement by the OCR, state attorneys general are authorized to bring civil actions under either HIPAA or relevant state laws seeking either injunctions or damages in response to violations that threaten the privacy of state residents’ identifiable health information. Although we have implemented and maintain policies, processes and compliance program infrastructure to assist us in complying with HIPAA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may require us to make costly system purchases and/or modifications or otherwise divert significant resources to HIPAA compliance initiatives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Data Privacy and Cybersecurity Requirements</w:t>
      </w:r>
    </w:p>
    <w:p>
      <w:pPr>
        <w:spacing w:after="0" w:line="19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In addition to HIPAA, 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The California Consumer Privacy Act, as amended by the California Privacy Rights Act, or the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investment in compliance and potential business process changes may be required. Similar laws have passed in other states and are continuing to be proposed at the state and federal level, reflecting a trend toward more stringent privacy legislation in the United States. Such laws could potentially impose conflicting requirements that would make compliance more challenging and could lead to additional liability. The enactment of such laws could have potentially conflicting requirements that would make compliance challenging and could lead to additional liability risks.</w:t>
      </w:r>
    </w:p>
    <w:p>
      <w:pPr>
        <w:spacing w:after="0" w:line="16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Certain of our solutions and services involve the transmission and storage of client and member data in various jurisdictions, which subjects the operation of those solutions and services to data privacy or data protection laws, rules and regulations in those jurisdictions. There can be no assurance that such requirements will not change or that we will not otherwise be subject to legal or regulatory actions. These laws, rules and regulations are rapidly evolving and changing and could have an adverse impact on our operations.</w:t>
      </w:r>
    </w:p>
    <w:p>
      <w:pPr>
        <w:spacing w:after="0" w:line="15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These laws, rules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rules and regulations. An adverse outcome under any such investigation or audit could result in fines, penalties, other liability, adverse publicity or a loss of reputation, and adversely affect our business. Moreover, if these laws, rules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scope of operations.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Data Protection and Breaches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In recent years, there have been a number of well-publicized data breaches involving the improper dissemination of personal information of individuals both within and outside of the healthcare industry. Laws in all 50 states require businesses to provide notice to individuals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59"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Under HIPAA, Covered Entities must report breaches of unsecured protected health information to affected individuals without unreasonable delay, not to exceed 60 days following discovery of the breach by a Covered Entity or its agents. Notification also must be made to the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that the information has been compromised consistent with requirements enumerated in HIPAA.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Despite our security management efforts with respect to physical and technical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or processing functions), are vulnerable to, and from time to time may experience, data breaches of confidential or proprietary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cybersecurity measures, some of which are managed by third-party vendors, or the cybersecurity measures of third parties with whom we work, including our service providers or vendors, are breached or fail, it is possible that unauthorized or illegal access to or acquisition, disclosure, use or processing of personally identifiable information, confidential information, or other sensitive client, member, or employee data, including HIPAA-regulated protected health information, may occur. A cybersecurity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6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If our cybersecurity measures, or those of the third parties with whom we work, including our service providers or vendors, were to be breached or fail, our reputation could be severely damaged, adversely affecting client or investor confidence. As a result, clients may curtail their use of, or stop using our solutions, and our business may suffer. We could be subject to litigation, damages for breach of contract, penalties and regulatory actions for violations of HIPAA and other laws or regulations applicable to data privacy and data protection, as well as incur significant costs for remediation. In addition, any potential cybersecurity breach could result in increased costs associated with liability for stolen assets or information, repairing system damage that may have been caused by such breach,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providing coverage for certain cybersecurity and privacy related damages and claim expenses, we may not carry insurance or maintain coverage sufficient to compensate for all liability, and such insurance may not be available for renewal on acceptable terms or at all. However, in any event, insurance coverage will not address the reputational damage that could result from a security breach.</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Consumer Protection Laws</w:t>
      </w:r>
    </w:p>
    <w:p>
      <w:pPr>
        <w:spacing w:after="0" w:line="1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Consumer protection laws require us to publish statements to users of our services that describe how we handle personal information and choices consumers may have about the way we handle personal information. If the information we publish is considered untrue, we may be subject to claims of unfair or deceptive trade practices, which could lead to significant liabilities and consequences, including, costs of defending against litigation or settling claims and loss of existing and future clients.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ERISA Regulation</w:t>
      </w:r>
    </w:p>
    <w:p>
      <w:pPr>
        <w:spacing w:after="0" w:line="18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The Employee Retirement Income Security Act of 1974, or ERISA, regulates certain aspects of employee health plans, including both insured and self-funded health plans sponsored by our clients. In addition, as part of our agreements with a number of our clients, we also offer PBM services through Progyny Rx. We believe that the conduct of our business vis-à-vis our clients’ plans is not of a fiduciary nature, and, therefore, we are not subject in general to the fiduciary obligations imposed by ERISA. However, there can be no assurance that the Department of Labor, or DOL, the agency that enforces ERISA, will not in the future assert that the fiduciary obligations imposed by ERISA apply to certain aspects of our operations or courts will not reach such a ruling in private ERISA litigation.</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ERISA’s prohibitions on certain forms of remuneration made to, or received by, health plan service providers or other persons are broadly written, and their application to particular cases is uncertain. ERISA plans are subject to certain rules, published by the DOL, including reporting requirements for direct and indirect compensation received by health plan service providers. If the DOL or the courts interpret these requirements in a manner that is inconsistent with our business operations, we could be subject to civil or criminal liability.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 xml:space="preserve">Separately, although ERISA generally preempts state laws that would otherwise apply to ERISA plans, the recent Supreme Court ruling in </w:t>
      </w:r>
      <w:r>
        <w:rPr>
          <w:rFonts w:ascii="Times New Roman" w:cs="Times New Roman" w:eastAsia="Times New Roman" w:hAnsi="Times New Roman"/>
          <w:sz w:val="14"/>
          <w:szCs w:val="14"/>
          <w:i w:val="1"/>
          <w:iCs w:val="1"/>
          <w:color w:val="auto"/>
        </w:rPr>
        <w:t>Rutledge v. Pharm. Care Mgmt. Ass’n</w:t>
      </w:r>
      <w:r>
        <w:rPr>
          <w:rFonts w:ascii="Times New Roman" w:cs="Times New Roman" w:eastAsia="Times New Roman" w:hAnsi="Times New Roman"/>
          <w:sz w:val="14"/>
          <w:szCs w:val="14"/>
          <w:color w:val="auto"/>
        </w:rPr>
        <w:t xml:space="preserve"> established that ERISA does not preempt all state laws imposing transparency or other requirements on PBMs. If the interpretation of ERISA preemption is further narrowed in the future, our contractual obligations with our self-insured clients would likely require us to comply more broadly with state laws applicable to health insurance that do not currently apply to us. This may adversely impact our ability to standardize our products, solutions, and services across states.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State Corporate Practice and Fee-Splitting Prohibitions</w:t>
      </w:r>
    </w:p>
    <w:p>
      <w:pPr>
        <w:spacing w:after="0" w:line="19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These laws generally prohibit non-physician entities from practicing medicine, exercising control over physicians or engaging in certain practices such as fee-splitting with physicians. We have structured our operations and contracts with our network providers to comply with such laws. For example, our provider agreements explicitly recognize that providers retain sole authority for medical decision making. If a state’s corporate practice of medicine or fee-splitting laws are interpreted in a manner that is inconsistent with our contractual arrangements with our network providers, we could be required to restructure or terminate our contractual relationships with our network providers to comply with such laws; could be subject to disciplinary action, penalties, damages, and fines; and could experience a loss of revenue, any of which could have a material and adverse effect on our business, results of operations, and financial condition. In addition, this may discourage physicians from participating in our network of providers as these state laws often impose penalties on physicians, in their individual capacity, for aiding the corporate practice of medicine or unlawful fee-splitting.</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Communication</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Communications with our members increasingly may be subject to and restricted by laws and regulations governing communications via telephone, fax, text, and email. We use email and social media platforms as marketing tools. For example, we maintain corporate social media accounts. As laws and regulations, including FTC enforcement, rapidly evolve to govern the use of these platforms and devices, the failure by us, our employees or third parties acting at our direction to abide by applicable laws and regulations in connection with the use of these platforms and devices could adversely impact our business, financial condition and results of operations or subject us to fines or other penalties.</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part of the broader healthcare industry and subject to increasing scrutiny and regulation within our business, including with respect to Progyny Rx’s PBM operations, which may adversely affect our business, financial condition and results of operations.</w:t>
      </w:r>
    </w:p>
    <w:p>
      <w:pPr>
        <w:spacing w:after="0" w:line="133"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be unclear. Because our clients are subject to various legal and regulatory requirements, we may have obligations to comply with additional legal and regulatory requirements as a result of our arrangements with our clients, even if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Federal and state efforts to reform or change aspects of the healthcare industry or to change or create additional legal and regulatory requirements could impact our operations, the use of our solutions and services, and our ability to market new solutions and services, or could create unexpected liabilities for us.</w:t>
      </w:r>
    </w:p>
    <w:p>
      <w:pPr>
        <w:spacing w:after="0" w:line="1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PBM operations and business models are highly regulated and subject to frequently changing laws, regulations, government enforcement priorities, negative publicity, industry standards and other requirements. Recently, there have been a number of reform efforts focused on PBM regulation, program pricing, and transparency, from both federal and state legislatures and agencies, including, but not limited to, disclosure, receipt and retention of rebates and other payments received from pharmaceutical manufacturers or pharmacy program partners, rules governing contractual provisions between PBMs and their contracted payers and/or pharmacies, and registration or licensing of PBMs. If adopted, these proposals could affect our business by further restricting PBM practices critical to maintaining current levels of profitability or could impact our ability to meet future financial forecasts. For example, recently, the U.S. Senate and House of Representatives proposed a number of bills that would, among other things, require PBMs to submit information on their costs, fees and rebates; require 100% of the rebates to be passed on to consumers; and/or impose rebates on manufacturers that choose to increase their drug prices at a rate that exceeds the inflation rate. In July 2024, the FTC released its interim staff report on PBMs and the impact of PBM rebates and fees on patients and payers. In September 2024, the FTC filed actions against certain PBMs related to their rebate practices.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 xml:space="preserve">The Supreme Court’s decision in </w:t>
      </w:r>
      <w:r>
        <w:rPr>
          <w:rFonts w:ascii="Times New Roman" w:cs="Times New Roman" w:eastAsia="Times New Roman" w:hAnsi="Times New Roman"/>
          <w:sz w:val="14"/>
          <w:szCs w:val="14"/>
          <w:i w:val="1"/>
          <w:iCs w:val="1"/>
          <w:color w:val="auto"/>
        </w:rPr>
        <w:t>Rutledge v. Pharm. Care Mgmt. Ass’n</w:t>
      </w:r>
      <w:r>
        <w:rPr>
          <w:rFonts w:ascii="Times New Roman" w:cs="Times New Roman" w:eastAsia="Times New Roman" w:hAnsi="Times New Roman"/>
          <w:sz w:val="14"/>
          <w:szCs w:val="14"/>
          <w:color w:val="auto"/>
        </w:rPr>
        <w:t xml:space="preserve"> in December 2020 held that an Arkansas state law requiring PBMs to reimburse pharmacies at a price equal to or greater than the price pharmacies pay in purchasing medications from a wholesaler was not preempted by ERISA. The Supreme Court’s ruling solidifies the legality of state-level legislation regulating PBMs. New legislation aimed at controlling prescription drug costs and providing pricing transparency and regulatory oversight of PBMs has been enacted. At least 33 states have adopted some form of PBM oversight legislation. In certain states, PBMs are required to file transparency reports or otherwise disclose contractual arrangements with health plans or health insurance issuers and regulators have begun to conduct audits of PBM operations.</w:t>
      </w:r>
    </w:p>
    <w:p>
      <w:pPr>
        <w:spacing w:after="0" w:line="1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 third-party payor, including private insurers, self-insured employers and patients on a cash basis, and may be applicable to us.</w:t>
      </w:r>
    </w:p>
    <w:p>
      <w:pPr>
        <w:spacing w:after="0" w:line="16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Accordingly, our business operations and our results of operations could be materially and adversely affected by legislative, regulatory and public policy changes at the federal or state level, increased government involvement in drug reimbursement and pricing, and/or increased regulation of PBMs, including Progyny Rx. Such legal and regulatory changes may adversely affect our ability to conduct business on commercially reasonable terms in states where PBM legislation is in effect and our ability to standardize Progyny Rx PBM products and services across states. In addition, failure to comply with these laws or regulations could result in material fines and sanctions and could have a material adverse effect on our results of operations and cash flows.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4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Pursuant to Section 404 of the Sarbanes-Oxley Act (“Section 404”), we are required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Our existing management team has and will continue to devote a substantial amount of time to these compliance initiatives, and we may need to hire additional accounting and financial personnel with appropriate public company experience to assist us in ongoing compliance with these requirements. Moreover, these rules and regulations have increased, and will continue to increase, our legal and financial reporting compliance costs and will make some activities more time consuming and costly.</w:t>
      </w:r>
    </w:p>
    <w:p>
      <w:pPr>
        <w:spacing w:after="0" w:line="16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4"/>
          <w:szCs w:val="14"/>
          <w:color w:val="auto"/>
        </w:rPr>
        <w:t>During the evaluation and testing process of our internal control, if we identify one or more material weaknesses in our internal control over financial reporting, we would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of financial reporting, which we determined was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4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While we operate primarily in the United States, we remain subject to the U.S. Foreign Corrupt Practices Act, U.S. domestic anti-bribery laws, and other anti-corruption and anti-money laundering laws in the countries in which we conduct activities. We may engage with business partners and third-party intermediaries to market our services and to obtain the necessary permits, licenses, and other regulatory approvals for us. In addition, we or our third-party intermediaries may have direct or indirect interactions with officials and employees of government agencies or state-owned or affiliated entities. We can be held liable for the corrupt or other illegal activities of such third-party intermediaries as well as our employees, representatives, contractors, partners and agents, even if we do not explicitly authorize such activities.</w:t>
      </w:r>
    </w:p>
    <w:p>
      <w:pPr>
        <w:spacing w:after="0" w:line="15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potential civil or criminal proceeding, our business, financial condition and results of operations could be harmed. In addition, responding to any action will likely result in a significant diversion of management’s attention and resources and significant defense costs and other professional fees, which could also adversely affect our business, financial condition and results of operations.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Changing rules and regulations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4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In addition to the changing rules and regulations related to environmental, social and governance, or ESG, matters imposed by governmental and self-regulatory organizations, companies across all industries are facing increasing scrutiny related to their ESG practices and reporting. Our stakeholders may disagree with our ESG policies and goals or, conversely, believe that these policies and goals are insufficient. This may lead to a decrease in demand for our products and services or damage to our reputation. We may also incur additional costs and require additional resources as we evolve our strategy, practices and related disclosures with respect to these matters. The changing rules, regulations and stakeholder expectations with respect to these matters have resulted in, and are likely to continue to result in, increased general and administrative expenses and increased management time and attention aimed at complying with such rules and regulations and meeting such expectations.</w:t>
      </w:r>
    </w:p>
    <w:p>
      <w:pPr>
        <w:spacing w:after="0" w:line="18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related to ESG matters in our SEC filings or in other public disclosures. These initiatives and goals could be difficult and expensive to implement, the technologies needed to implement them may not be cost effective and may not advance at a sufficient pace, and we could be criticized for the accuracy, adequacy or completeness of the disclosure. In addition, statements about our ESG-related initiatives and goals, and progress against those goals, may be based on standards for measuring progress that are still developing and have not been harmonized, internal controls and processes that continue to evolve and assumptions that are subject to change in the future. We could be criticized for the scope or nature of such initiatives or goals or for any revisions to these goals. If our ESG-related data, processes and reporting are incomplete or inaccurate, our reputation, business, financial performance and growth could be adversely affected. In addition, in recent years, “anti-ESG” sentiment has gained momentum across the U.S., with several states, Congress, and most recently, the new U.S. presidential administration proposing or enacting “anti-ESG” policies, legislation, or initiatives or issuing related legal opinions, as well as executive actions in response to ESG-related initiatives in the private sector. Such anti-ESG-related policies, legislation, initiatives, litigation, legal opinions, and scrutiny could result in additional compliance obligations, becoming the subject of investigations and enforcement actions, or sustaining reputational harm.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experience volatility, and the value of our common stock may decline.</w:t>
      </w:r>
    </w:p>
    <w:p>
      <w:pPr>
        <w:spacing w:after="0" w:line="20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market price of our common stock may be highly volatile and may fluctuate or decline substantially as a result of this and a variety of factors, some of which are beyond our control,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high volume of direct sales into the market by large investors;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stock repurchases by us;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actual or anticipated fluctuations in our financial condition or results of operations;</w:t>
      </w:r>
    </w:p>
    <w:p>
      <w:pPr>
        <w:spacing w:after="0" w:line="187" w:lineRule="exact"/>
        <w:rPr>
          <w:rFonts w:ascii="Times New Roman" w:cs="Times New Roman" w:eastAsia="Times New Roman" w:hAnsi="Times New Roman"/>
          <w:sz w:val="17"/>
          <w:szCs w:val="17"/>
          <w:color w:val="auto"/>
        </w:rPr>
      </w:pPr>
    </w:p>
    <w:p>
      <w:pPr>
        <w:ind w:left="520" w:hanging="260"/>
        <w:spacing w:after="0" w:line="231" w:lineRule="auto"/>
        <w:tabs>
          <w:tab w:leader="none" w:pos="516"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publications of research or other reports about us or our industry, including those that may contain inaccurate or misleading information, financial estimates about us, or changes in recommendations or withdrawal of research coverage by securities analysts;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pricing of our solutions and services;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our projected operating and financial results;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general economic, industry, political and market conditions;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laws or regulations applicable to our products and solutions;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announcements by us or our competitors of significant business developments, acquisitions, or new offerings;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significant data breaches affecting our company, provider clinics, third-party vendors or pharmacy network partners;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our involvement in litigation or threats of litigation against us;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future sales of our common stock by us or our stockholders;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senior management or key personnel;</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the trading volume of our common stock;</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war, incidents of terrorism, or responses to these events; and</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anticipated future size and growth rate of our market.</w:t>
      </w:r>
    </w:p>
    <w:p>
      <w:pPr>
        <w:spacing w:after="0" w:line="17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our common stock may not be sustained.</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fund continuing operations through the sale of additional equity securities and may impair our ability to make strategic investments, including acquiring other companies or investing in technologies, using our equity as consideration.</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experienced and may in the future experience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results of operations have in the past, and may in the future, fluctuate due to a variety of factors, many of which are beyond our control. As a result, our past results may not be indicative of our future performance. In addition to the other risks described herein, factors that may affect our results of operations include the following:</w:t>
      </w:r>
    </w:p>
    <w:p>
      <w:pPr>
        <w:spacing w:after="0" w:line="134" w:lineRule="exact"/>
        <w:rPr>
          <w:sz w:val="20"/>
          <w:szCs w:val="20"/>
          <w:color w:val="auto"/>
        </w:rPr>
      </w:pPr>
    </w:p>
    <w:p>
      <w:pPr>
        <w:ind w:left="500" w:hanging="240"/>
        <w:spacing w:after="0"/>
        <w:tabs>
          <w:tab w:leader="none" w:pos="500" w:val="left"/>
        </w:tabs>
        <w:numPr>
          <w:ilvl w:val="0"/>
          <w:numId w:val="30"/>
        </w:numPr>
        <w:rPr>
          <w:rFonts w:ascii="Arial" w:cs="Arial" w:eastAsia="Arial" w:hAnsi="Arial"/>
          <w:sz w:val="17"/>
          <w:szCs w:val="17"/>
          <w:color w:val="auto"/>
        </w:rPr>
      </w:pPr>
      <w:r>
        <w:rPr>
          <w:rFonts w:ascii="Times New Roman" w:cs="Times New Roman" w:eastAsia="Times New Roman" w:hAnsi="Times New Roman"/>
          <w:sz w:val="14"/>
          <w:szCs w:val="14"/>
          <w:color w:val="auto"/>
        </w:rPr>
        <w:t>fluctuations in demand for, or pricing of, our solutions;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level and mix of utilization of our solutions by members;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retain existing clients and attract new clients;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client expansion rates;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clients’ budgets and in the timing of their budget cycles and purchasing decisions;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control costs, including our operating expenses and healthcare costs;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the amount and timing of payment for operating expenses, particularly sales and marketing expenses;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the amount and timing of non-cash expenses, including stock-based compensation expense, goodwill impairments and other non-cash charges;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the amount and timing of costs associated with recruiting, training and integrating new employees and retaining and motivating existing employees;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general economic conditions, as well as economic conditions specifically affecting industries in which our clients operate;</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the impact of new accounting pronouncements;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competitive dynamics of our market, including consolidation among competitors or clients; and</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4"/>
          <w:szCs w:val="14"/>
          <w:color w:val="auto"/>
        </w:rPr>
        <w:t>significant cybersecurity breaches of, technical difficulties with, or interruptions to, the delivery and use of our solutions and services.</w:t>
      </w:r>
    </w:p>
    <w:p>
      <w:pPr>
        <w:spacing w:after="0" w:line="17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in the public market, including in connection with financings, acquisitions, our equity incentive plan or otherwise, could cause the market price of our common stock to decline.</w:t>
      </w:r>
    </w:p>
    <w:p>
      <w:pPr>
        <w:spacing w:after="0" w:line="1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We expect to issue additional capital stock in the future, which will result in dilution to all other stockholders. We expect to continue to grant equity awards to our employees, directors and consultants under our equity incentive plans. We may also raise capital through equity financings in the future. As part of our growth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54"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4"/>
          <w:szCs w:val="14"/>
          <w:color w:val="auto"/>
        </w:rPr>
        <w:t>The market price and trading volume of our common stock is heavily influenced by analysts’ interpretation of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then our stock price would likely decline, and the trading volume of our common stock could decrease. We have experienced and may in the future experience analyst coverage reduction due to analysts leaving firms, changing firms or going on temporary leaves of absences. A reduction in analyst coverage, even if temporary, could lead to volatility in our stock price.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 and, as a result, your ability to receive a return on your investment will depend on appreciation in the price of our common stock.</w:t>
      </w:r>
    </w:p>
    <w:p>
      <w:pPr>
        <w:spacing w:after="0" w:line="1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5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and second amended and restated bylaws may have the effect of delaying or preventing a change of control or changes in our management. Our amended and restated certificate of incorporation and second amended and restated bylaws include provisions that:</w:t>
      </w:r>
    </w:p>
    <w:p>
      <w:pPr>
        <w:spacing w:after="0" w:line="156" w:lineRule="exact"/>
        <w:rPr>
          <w:sz w:val="20"/>
          <w:szCs w:val="20"/>
          <w:color w:val="auto"/>
        </w:rPr>
      </w:pPr>
    </w:p>
    <w:p>
      <w:pPr>
        <w:ind w:left="520" w:hanging="260"/>
        <w:spacing w:after="0" w:line="231" w:lineRule="auto"/>
        <w:tabs>
          <w:tab w:leader="none" w:pos="516"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4"/>
          <w:szCs w:val="14"/>
          <w:color w:val="auto"/>
        </w:rPr>
        <w:t>authorize our Board of Directors to issue, without further action by stockholders, shares of undesignated preferred stock with terms, rights, and preferences determined by our Board of Directors and which may be senior to our common stock;</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4"/>
          <w:szCs w:val="14"/>
          <w:color w:val="auto"/>
        </w:rPr>
        <w:t>require that any action to be taken by our stockholders be effected at a duly called annual or special meeting and not by written consent;</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4"/>
          <w:szCs w:val="14"/>
          <w:color w:val="auto"/>
        </w:rPr>
        <w:t>specify that special meetings of our stockholders can be called only by our Board of Directors, the chairperson of our Board of Directors, or our chief executive officer;</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4"/>
          <w:szCs w:val="14"/>
          <w:color w:val="auto"/>
        </w:rPr>
        <w:t>establish an advance notice procedure for stockholder proposals to be brought before an annual meeting, including proposed nominations of persons for election to our Board of Directors;</w:t>
      </w:r>
    </w:p>
    <w:p>
      <w:pPr>
        <w:spacing w:after="0" w:line="165" w:lineRule="exact"/>
        <w:rPr>
          <w:rFonts w:ascii="Arial" w:cs="Arial" w:eastAsia="Arial" w:hAnsi="Arial"/>
          <w:sz w:val="17"/>
          <w:szCs w:val="17"/>
          <w:color w:val="auto"/>
        </w:rPr>
      </w:pPr>
    </w:p>
    <w:p>
      <w:pPr>
        <w:ind w:left="500" w:hanging="240"/>
        <w:spacing w:after="0"/>
        <w:tabs>
          <w:tab w:leader="none" w:pos="500"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4"/>
          <w:szCs w:val="14"/>
          <w:color w:val="auto"/>
        </w:rPr>
        <w:t>establish that our Board of Directors is divided into three classes, with each class serving three-year staggered terms;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4"/>
          <w:szCs w:val="14"/>
          <w:color w:val="auto"/>
        </w:rPr>
        <w:t>prohibit cumulative voting in the election of directors;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4"/>
          <w:szCs w:val="14"/>
          <w:color w:val="auto"/>
        </w:rPr>
        <w:t>provide that our directors may be removed for cause only upon the vote of at least 66 and 2/3% of our outstanding shares of voting stock;</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4"/>
          <w:szCs w:val="14"/>
          <w:color w:val="auto"/>
        </w:rPr>
        <w:t>provide that vacancies on our Board of Directors may be filled only by a majority of directors then in office, even though less than a quorum; and</w:t>
      </w:r>
    </w:p>
    <w:p>
      <w:pPr>
        <w:spacing w:after="0" w:line="187" w:lineRule="exact"/>
        <w:rPr>
          <w:rFonts w:ascii="Arial" w:cs="Arial" w:eastAsia="Arial" w:hAnsi="Arial"/>
          <w:sz w:val="17"/>
          <w:szCs w:val="17"/>
          <w:color w:val="auto"/>
        </w:rPr>
      </w:pPr>
    </w:p>
    <w:p>
      <w:pPr>
        <w:ind w:left="520" w:hanging="260"/>
        <w:spacing w:after="0" w:line="223" w:lineRule="auto"/>
        <w:tabs>
          <w:tab w:leader="none" w:pos="516"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4"/>
          <w:szCs w:val="14"/>
          <w:color w:val="auto"/>
        </w:rPr>
        <w:t>require the approval of our Board of Directors or the holders of at least 66 and 2/3% of our outstanding shares of voting stock to amend our second amended and restated bylaws and certain provisions of our amended and restated certificate of incorporation.</w:t>
      </w:r>
    </w:p>
    <w:p>
      <w:pPr>
        <w:spacing w:after="0" w:line="16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4"/>
          <w:szCs w:val="14"/>
          <w:color w:val="auto"/>
        </w:rPr>
        <w:t>These provisions may frustrate or prevent any attempts by our stockholders to replace or remove our current management by making it more difficult for stockholders to replace members of our Board of Directors, which is responsible for appointing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or other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state courts in the State of Delaware or, if no state court located 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other employees.</w:t>
      </w:r>
    </w:p>
    <w:p>
      <w:pPr>
        <w:spacing w:after="0" w:line="16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second amended and restated bylaws; (4) any action or proceeding to interpret, apply, enforce or determine the validity of our amended and restated certificate of incorporation or our second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6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The exclusive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exclusive forum provisions contained in our amended and restated certificate of incorporation to be inapplicable or unenforceable in an action, we may also incur costs associated with resolving such action in other jurisdictions.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Settlement of Equity Awards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restricted stock units are subject to vesting and the underlying shares of common stock are issued when the restricted stock units vest.</w:t>
      </w:r>
    </w:p>
    <w:p>
      <w:pPr>
        <w:spacing w:after="0" w:line="17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the second quarter of 2025, we withheld shares through net settlements (where the award holder receives the net of the shares vested, after surrendering a portion of the shares back to the Company for tax withholding) for certain restricted stock units that vested.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gridSpan w:val="3"/>
          </w:tcPr>
          <w:p>
            <w:pPr>
              <w:jc w:val="center"/>
              <w:ind w:right="880"/>
              <w:spacing w:after="0"/>
              <w:rPr>
                <w:sz w:val="20"/>
                <w:szCs w:val="20"/>
                <w:color w:val="auto"/>
              </w:rPr>
            </w:pPr>
            <w:r>
              <w:rPr>
                <w:rFonts w:ascii="Times New Roman" w:cs="Times New Roman" w:eastAsia="Times New Roman" w:hAnsi="Times New Roman"/>
                <w:sz w:val="11"/>
                <w:szCs w:val="11"/>
                <w:b w:val="1"/>
                <w:bCs w:val="1"/>
                <w:color w:val="auto"/>
              </w:rPr>
              <w:t>Maximum Dollar Amount of</w:t>
            </w:r>
          </w:p>
        </w:tc>
      </w:tr>
      <w:tr>
        <w:trPr>
          <w:trHeight w:val="127"/>
        </w:trPr>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20" w:type="dxa"/>
            <w:vAlign w:val="bottom"/>
          </w:tcPr>
          <w:p>
            <w:pPr>
              <w:spacing w:after="0"/>
              <w:rPr>
                <w:sz w:val="11"/>
                <w:szCs w:val="11"/>
                <w:color w:val="auto"/>
              </w:rPr>
            </w:pPr>
          </w:p>
        </w:tc>
        <w:tc>
          <w:tcPr>
            <w:tcW w:w="224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Shares That May Yet Be</w:t>
            </w:r>
          </w:p>
        </w:tc>
      </w:tr>
      <w:tr>
        <w:trPr>
          <w:trHeight w:val="127"/>
        </w:trPr>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Purchased as Part of Publicly</w:t>
            </w:r>
          </w:p>
        </w:tc>
        <w:tc>
          <w:tcPr>
            <w:tcW w:w="120" w:type="dxa"/>
            <w:vAlign w:val="bottom"/>
          </w:tcPr>
          <w:p>
            <w:pPr>
              <w:spacing w:after="0"/>
              <w:rPr>
                <w:sz w:val="11"/>
                <w:szCs w:val="11"/>
                <w:color w:val="auto"/>
              </w:rPr>
            </w:pPr>
          </w:p>
        </w:tc>
        <w:tc>
          <w:tcPr>
            <w:tcW w:w="224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Purchased Under the</w:t>
            </w:r>
          </w:p>
        </w:tc>
      </w:tr>
      <w:tr>
        <w:trPr>
          <w:trHeight w:val="126"/>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Announced Plans or</w:t>
            </w:r>
          </w:p>
        </w:tc>
        <w:tc>
          <w:tcPr>
            <w:tcW w:w="120" w:type="dxa"/>
            <w:vAlign w:val="bottom"/>
          </w:tcPr>
          <w:p>
            <w:pPr>
              <w:spacing w:after="0"/>
              <w:rPr>
                <w:sz w:val="10"/>
                <w:szCs w:val="10"/>
                <w:color w:val="auto"/>
              </w:rPr>
            </w:pPr>
          </w:p>
        </w:tc>
        <w:tc>
          <w:tcPr>
            <w:tcW w:w="2240" w:type="dxa"/>
            <w:vAlign w:val="bottom"/>
            <w:gridSpan w:val="2"/>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w w:val="99"/>
              </w:rPr>
              <w:t>Program</w:t>
            </w:r>
          </w:p>
        </w:tc>
      </w:tr>
      <w:tr>
        <w:trPr>
          <w:trHeight w:val="18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 xml:space="preserve">Repurchased </w:t>
            </w:r>
            <w:r>
              <w:rPr>
                <w:rFonts w:ascii="Times New Roman" w:cs="Times New Roman" w:eastAsia="Times New Roman" w:hAnsi="Times New Roman"/>
                <w:sz w:val="14"/>
                <w:szCs w:val="14"/>
                <w:b w:val="1"/>
                <w:bCs w:val="1"/>
                <w:color w:val="auto"/>
                <w:vertAlign w:val="superscript"/>
              </w:rPr>
              <w:t>(1)</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Programs</w:t>
            </w:r>
          </w:p>
        </w:tc>
        <w:tc>
          <w:tcPr>
            <w:tcW w:w="120" w:type="dxa"/>
            <w:vAlign w:val="bottom"/>
          </w:tcPr>
          <w:p>
            <w:pPr>
              <w:spacing w:after="0"/>
              <w:rPr>
                <w:sz w:val="15"/>
                <w:szCs w:val="15"/>
                <w:color w:val="auto"/>
              </w:rPr>
            </w:pPr>
          </w:p>
        </w:tc>
        <w:tc>
          <w:tcPr>
            <w:tcW w:w="224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92"/>
        </w:trPr>
        <w:tc>
          <w:tcPr>
            <w:tcW w:w="4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1, 2025 through April 30,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spacing w:after="0"/>
              <w:rPr>
                <w:sz w:val="17"/>
                <w:szCs w:val="17"/>
                <w:color w:val="auto"/>
              </w:rPr>
            </w:pPr>
          </w:p>
        </w:tc>
      </w:tr>
      <w:tr>
        <w:trPr>
          <w:trHeight w:val="196"/>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May 1, 2025 through May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8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2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1, 2025 through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spacing w:after="0"/>
              <w:rPr>
                <w:sz w:val="17"/>
                <w:szCs w:val="17"/>
                <w:color w:val="auto"/>
              </w:rPr>
            </w:pPr>
          </w:p>
        </w:tc>
      </w:tr>
      <w:tr>
        <w:trPr>
          <w:trHeight w:val="198"/>
        </w:trPr>
        <w:tc>
          <w:tcPr>
            <w:tcW w:w="4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Total shares repurchased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108,741</w:t>
            </w:r>
          </w:p>
        </w:tc>
        <w:tc>
          <w:tcPr>
            <w:tcW w:w="8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93"/>
        </w:trPr>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6"/>
        </w:trPr>
        <w:tc>
          <w:tcPr>
            <w:tcW w:w="4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hanging="115"/>
        <w:spacing w:after="0"/>
        <w:tabs>
          <w:tab w:leader="none" w:pos="120"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shares withheld on net settlements of restricted stock units that vested under our equity incentive plans.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1" w:lineRule="exact"/>
        <w:rPr>
          <w:sz w:val="20"/>
          <w:szCs w:val="20"/>
          <w:color w:val="auto"/>
        </w:rPr>
      </w:pPr>
    </w:p>
    <w:p>
      <w:pPr>
        <w:ind w:left="500" w:hanging="240"/>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June 30, 2025, certain of our officers and directors adopted or terminated Rule 10b5-1 trading arrangements as follows:</w:t>
      </w:r>
    </w:p>
    <w:p>
      <w:pPr>
        <w:spacing w:after="0" w:line="178" w:lineRule="exact"/>
        <w:rPr>
          <w:rFonts w:ascii="Times New Roman" w:cs="Times New Roman" w:eastAsia="Times New Roman" w:hAnsi="Times New Roman"/>
          <w:sz w:val="14"/>
          <w:szCs w:val="14"/>
          <w:color w:val="auto"/>
        </w:rPr>
      </w:pPr>
    </w:p>
    <w:p>
      <w:pPr>
        <w:jc w:val="both"/>
        <w:ind w:left="52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13, 2025, Allison Swartz, our General Counsel and Secretary, adopted a trading plan that is intended to satisfy the conditions under Rule 10b5-1(c) of the Exchange Act. Ms. Swartz’s trading plan is for the sale of up to 28,126 shares of the Company’s common stock in amounts and prices determined in accordance with a formula set forth in the plan. The plan terminates on the earlier of the date all shares under the plan are sold or June 12, 2026.</w:t>
      </w:r>
    </w:p>
    <w:p>
      <w:pPr>
        <w:spacing w:after="0" w:line="135" w:lineRule="exact"/>
        <w:rPr>
          <w:rFonts w:ascii="Times New Roman" w:cs="Times New Roman" w:eastAsia="Times New Roman" w:hAnsi="Times New Roman"/>
          <w:sz w:val="14"/>
          <w:szCs w:val="14"/>
          <w:color w:val="auto"/>
        </w:rPr>
      </w:pPr>
    </w:p>
    <w:p>
      <w:pPr>
        <w:jc w:val="both"/>
        <w:ind w:left="52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10, 2025, Cheryl Scott, a director of the Company, adopted a trading plan that is intended to satisfy the conditions under Rule 10b5-1(c) of the Exchange Act. Ms. Scott’s trading plan is for the sale of up to 6,689 shares of the Company’s common stock in amounts and prices determined in accordance with a formula set forth in the plan. The plan terminates on the earlier of the date all shares under the plan are sold or May 29, 2026.</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060" w:type="dxa"/>
            <w:vAlign w:val="bottom"/>
            <w:gridSpan w:val="8"/>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3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Filed/Furnished</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60" w:type="dxa"/>
            <w:vAlign w:val="bottom"/>
            <w:gridSpan w:val="8"/>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44"/>
        </w:trPr>
        <w:tc>
          <w:tcPr>
            <w:tcW w:w="100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0" w:type="dxa"/>
            <w:vAlign w:val="bottom"/>
            <w:tcBorders>
              <w:top w:val="single" w:sz="8" w:color="auto"/>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rPr>
              <w:t>Form of PSU award agreement.</w:t>
            </w:r>
          </w:p>
        </w:tc>
        <w:tc>
          <w:tcPr>
            <w:tcW w:w="20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Employment Agreement between Progyny, Inc. and Geoffrey Clapp.</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Employment Agreement between Progyny, Inc. and Melissa Cummings.</w:t>
            </w:r>
          </w:p>
        </w:tc>
        <w:tc>
          <w:tcPr>
            <w:tcW w:w="76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Credit Agreement dated July 1, 2025 by and among Progyny, Inc., the Lenders and</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right"/>
              <w:ind w:right="576"/>
              <w:spacing w:after="0"/>
              <w:rPr>
                <w:sz w:val="20"/>
                <w:szCs w:val="20"/>
                <w:color w:val="auto"/>
              </w:rPr>
            </w:pPr>
            <w:r>
              <w:rPr>
                <w:rFonts w:ascii="Times New Roman" w:cs="Times New Roman" w:eastAsia="Times New Roman" w:hAnsi="Times New Roman"/>
                <w:sz w:val="14"/>
                <w:szCs w:val="14"/>
                <w:color w:val="auto"/>
                <w:w w:val="98"/>
              </w:rPr>
              <w:t>001-39100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7/8/2025</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9"/>
          </w:tcPr>
          <w:p>
            <w:pPr>
              <w:spacing w:after="0" w:line="159" w:lineRule="exact"/>
              <w:rPr>
                <w:sz w:val="20"/>
                <w:szCs w:val="20"/>
                <w:color w:val="auto"/>
              </w:rPr>
            </w:pPr>
            <w:r>
              <w:rPr>
                <w:rFonts w:ascii="Times New Roman" w:cs="Times New Roman" w:eastAsia="Times New Roman" w:hAnsi="Times New Roman"/>
                <w:sz w:val="14"/>
                <w:szCs w:val="14"/>
                <w:color w:val="auto"/>
              </w:rPr>
              <w:t>Issuing Banks party thereto, and JPMorgan Chase Bank, N.A., as Administrative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Agent, Collateral Agent and Swingline Lender</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 13a-14(a).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 13a-14(a).</w:t>
            </w:r>
          </w:p>
        </w:tc>
        <w:tc>
          <w:tcPr>
            <w:tcW w:w="18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w:t>
            </w:r>
          </w:p>
        </w:tc>
        <w:tc>
          <w:tcPr>
            <w:tcW w:w="300" w:type="dxa"/>
            <w:vAlign w:val="bottom"/>
            <w:tcBorders>
              <w:top w:val="single" w:sz="8" w:color="0000FF"/>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2"/>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w:t>
            </w:r>
          </w:p>
        </w:tc>
        <w:tc>
          <w:tcPr>
            <w:tcW w:w="56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3"/>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8"/>
                <w:szCs w:val="18"/>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7"/>
                <w:szCs w:val="17"/>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7"/>
                <w:szCs w:val="17"/>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7"/>
                <w:szCs w:val="17"/>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Exhibit 101)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_____________________________</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Filed herewith.</w:t>
            </w: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Furnished herewith.</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7"/>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20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Progyny, Inc.</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Registrant</w:t>
      </w:r>
      <w:r>
        <w:rPr>
          <w:rFonts w:ascii="Times New Roman" w:cs="Times New Roman" w:eastAsia="Times New Roman" w:hAnsi="Times New Roman"/>
          <w:sz w:val="14"/>
          <w:szCs w:val="14"/>
          <w:color w:val="auto"/>
        </w:rPr>
        <w:t>)</w:t>
      </w:r>
    </w:p>
    <w:p>
      <w:pPr>
        <w:spacing w:after="0" w:line="249" w:lineRule="exact"/>
        <w:rPr>
          <w:sz w:val="20"/>
          <w:szCs w:val="20"/>
          <w:color w:val="auto"/>
        </w:rPr>
      </w:pPr>
    </w:p>
    <w:p>
      <w:pPr>
        <w:ind w:left="20"/>
        <w:spacing w:after="0"/>
        <w:tabs>
          <w:tab w:leader="none" w:pos="5700" w:val="left"/>
          <w:tab w:leader="none" w:pos="8220" w:val="left"/>
        </w:tabs>
        <w:rPr>
          <w:sz w:val="20"/>
          <w:szCs w:val="20"/>
          <w:color w:val="auto"/>
        </w:rPr>
      </w:pPr>
      <w:r>
        <w:rPr>
          <w:rFonts w:ascii="Times New Roman" w:cs="Times New Roman" w:eastAsia="Times New Roman" w:hAnsi="Times New Roman"/>
          <w:sz w:val="14"/>
          <w:szCs w:val="14"/>
          <w:color w:val="auto"/>
        </w:rPr>
        <w:t>Date: August 8,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21590</wp:posOffset>
            </wp:positionV>
            <wp:extent cx="324739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47390" cy="6985"/>
                    </a:xfrm>
                    <a:prstGeom prst="rect">
                      <a:avLst/>
                    </a:prstGeom>
                    <a:noFill/>
                  </pic:spPr>
                </pic:pic>
              </a:graphicData>
            </a:graphic>
          </wp:anchor>
        </w:drawing>
      </w:r>
    </w:p>
    <w:p>
      <w:pPr>
        <w:spacing w:after="0" w:line="31"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color w:val="auto"/>
        </w:rPr>
        <w:t>Peter Anevski</w:t>
      </w:r>
    </w:p>
    <w:p>
      <w:pPr>
        <w:spacing w:after="0" w:line="5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pacing w:after="0" w:line="249" w:lineRule="exact"/>
        <w:rPr>
          <w:sz w:val="20"/>
          <w:szCs w:val="20"/>
          <w:color w:val="auto"/>
        </w:rPr>
      </w:pPr>
    </w:p>
    <w:p>
      <w:pPr>
        <w:ind w:left="20"/>
        <w:spacing w:after="0"/>
        <w:tabs>
          <w:tab w:leader="none" w:pos="5700" w:val="left"/>
          <w:tab w:leader="none" w:pos="8140" w:val="left"/>
        </w:tabs>
        <w:rPr>
          <w:sz w:val="20"/>
          <w:szCs w:val="20"/>
          <w:color w:val="auto"/>
        </w:rPr>
      </w:pPr>
      <w:r>
        <w:rPr>
          <w:rFonts w:ascii="Times New Roman" w:cs="Times New Roman" w:eastAsia="Times New Roman" w:hAnsi="Times New Roman"/>
          <w:sz w:val="14"/>
          <w:szCs w:val="14"/>
          <w:color w:val="auto"/>
        </w:rPr>
        <w:t>Date: August 8,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21590</wp:posOffset>
            </wp:positionV>
            <wp:extent cx="324739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47390" cy="6985"/>
                    </a:xfrm>
                    <a:prstGeom prst="rect">
                      <a:avLst/>
                    </a:prstGeom>
                    <a:noFill/>
                  </pic:spPr>
                </pic:pic>
              </a:graphicData>
            </a:graphic>
          </wp:anchor>
        </w:drawing>
      </w:r>
    </w:p>
    <w:p>
      <w:pPr>
        <w:spacing w:after="0" w:line="3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Mark Livingston</w:t>
      </w:r>
    </w:p>
    <w:p>
      <w:pPr>
        <w:spacing w:after="0" w:line="5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and Accounting Officer</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720"/>
          </w:cols>
          <w:pgMar w:left="300" w:top="231" w:right="87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PSU AWARD GRANT NOTICE</w:t>
      </w:r>
    </w:p>
    <w:p>
      <w:pPr>
        <w:jc w:val="center"/>
        <w:spacing w:after="0"/>
        <w:rPr>
          <w:sz w:val="20"/>
          <w:szCs w:val="20"/>
          <w:color w:val="auto"/>
        </w:rPr>
      </w:pPr>
      <w:r>
        <w:rPr>
          <w:rFonts w:ascii="Times New Roman" w:cs="Times New Roman" w:eastAsia="Times New Roman" w:hAnsi="Times New Roman"/>
          <w:sz w:val="16"/>
          <w:szCs w:val="16"/>
          <w:b w:val="1"/>
          <w:bCs w:val="1"/>
          <w:color w:val="auto"/>
        </w:rPr>
        <w:t>(2019 EQUITY INCENTIVE PLAN)</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Progyny,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awarded to you (the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number of performance-vesting restricted stock units specified and on the terms set forth below in consideration of your services (the “</w:t>
      </w:r>
      <w:r>
        <w:rPr>
          <w:rFonts w:ascii="Times New Roman" w:cs="Times New Roman" w:eastAsia="Times New Roman" w:hAnsi="Times New Roman"/>
          <w:sz w:val="16"/>
          <w:szCs w:val="16"/>
          <w:b w:val="1"/>
          <w:bCs w:val="1"/>
          <w:i w:val="1"/>
          <w:iCs w:val="1"/>
          <w:color w:val="auto"/>
        </w:rPr>
        <w:t>PSU Award</w:t>
      </w:r>
      <w:r>
        <w:rPr>
          <w:rFonts w:ascii="Times New Roman" w:cs="Times New Roman" w:eastAsia="Times New Roman" w:hAnsi="Times New Roman"/>
          <w:sz w:val="16"/>
          <w:szCs w:val="16"/>
          <w:color w:val="auto"/>
        </w:rPr>
        <w:t>”). Your PSU Award is subject to all of the terms and conditions as set forth herein and in the Company’s 2019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and the Award Agreement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which are incorporated herein in their entirety. Capitalized terms not explicitly defined herein but defined in the Plan or the Agreement shall have the meanings set forth in the Plan or the Agreement.</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Participant:</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-113665</wp:posOffset>
            </wp:positionV>
            <wp:extent cx="384683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46830" cy="6985"/>
                    </a:xfrm>
                    <a:prstGeom prst="rect">
                      <a:avLst/>
                    </a:prstGeom>
                    <a:noFill/>
                  </pic:spPr>
                </pic:pic>
              </a:graphicData>
            </a:graphic>
          </wp:anchor>
        </w:drawing>
      </w:r>
    </w:p>
    <w:p>
      <w:pPr>
        <w:ind w:left="20"/>
        <w:spacing w:after="0" w:line="235" w:lineRule="auto"/>
        <w:rPr>
          <w:sz w:val="20"/>
          <w:szCs w:val="20"/>
          <w:color w:val="auto"/>
        </w:rPr>
      </w:pPr>
      <w:r>
        <w:rPr>
          <w:rFonts w:ascii="Times New Roman" w:cs="Times New Roman" w:eastAsia="Times New Roman" w:hAnsi="Times New Roman"/>
          <w:sz w:val="16"/>
          <w:szCs w:val="16"/>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-113030</wp:posOffset>
            </wp:positionV>
            <wp:extent cx="384683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4683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-115570</wp:posOffset>
            </wp:positionV>
            <wp:extent cx="38468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46830" cy="6985"/>
                    </a:xfrm>
                    <a:prstGeom prst="rect">
                      <a:avLst/>
                    </a:prstGeom>
                    <a:noFill/>
                  </pic:spPr>
                </pic:pic>
              </a:graphicData>
            </a:graphic>
          </wp:anchor>
        </w:drawing>
      </w:r>
    </w:p>
    <w:p>
      <w:pPr>
        <w:spacing w:after="0" w:line="2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b w:val="1"/>
          <w:bCs w:val="1"/>
          <w:color w:val="auto"/>
        </w:rPr>
        <w:t xml:space="preserve">Vesting Schedule: </w:t>
      </w:r>
      <w:r>
        <w:rPr>
          <w:rFonts w:ascii="Times New Roman" w:cs="Times New Roman" w:eastAsia="Times New Roman" w:hAnsi="Times New Roman"/>
          <w:sz w:val="16"/>
          <w:szCs w:val="16"/>
          <w:color w:val="auto"/>
        </w:rPr>
        <w:t>The PSU Award shall vest as to 50% of the PSU Award on the date the Committee determines that the Tranche 1 Performance Goal has been achieved, and as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50% of the PSU Award on the date the Committee determines that the Tranche 2 Performance Goal has been achieved, in each case, subject to the Participant’s Continuous Service through each such date.</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For the sake of clarity: the Tranche 1 Performance Goal and the Tranche 2 Performance Goal may be achieved based on the same four consecutive fiscal quarters. If either or both of the Tranche 1 Performance Goal or the Tranche 2 Performance Goal has not been achieved prior to the fifth anniversary of the Date of Grant, the PSU Award shall be forfeited without consideration.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Issuance Schedule: </w:t>
      </w:r>
      <w:r>
        <w:rPr>
          <w:rFonts w:ascii="Times New Roman" w:cs="Times New Roman" w:eastAsia="Times New Roman" w:hAnsi="Times New Roman"/>
          <w:sz w:val="16"/>
          <w:szCs w:val="16"/>
          <w:color w:val="auto"/>
        </w:rPr>
        <w:t>One share of Common Stock will be issued for each vested restricted stock unit pursuant to Section 5 of the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Participant Acknowledgements: </w:t>
      </w:r>
      <w:r>
        <w:rPr>
          <w:rFonts w:ascii="Times New Roman" w:cs="Times New Roman" w:eastAsia="Times New Roman" w:hAnsi="Times New Roman"/>
          <w:sz w:val="16"/>
          <w:szCs w:val="16"/>
          <w:color w:val="auto"/>
        </w:rPr>
        <w:t>By your signature below or by electronic acceptance or authentication in a form authorized by the Company, you understand and agree that:</w:t>
      </w:r>
    </w:p>
    <w:p>
      <w:pPr>
        <w:spacing w:after="0" w:line="177" w:lineRule="exact"/>
        <w:rPr>
          <w:sz w:val="20"/>
          <w:szCs w:val="20"/>
          <w:color w:val="auto"/>
        </w:rPr>
      </w:pPr>
    </w:p>
    <w:p>
      <w:pPr>
        <w:jc w:val="both"/>
        <w:ind w:left="520" w:hanging="260"/>
        <w:spacing w:after="0" w:line="241" w:lineRule="auto"/>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PSU Award is governed by this PSU Award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6"/>
          <w:szCs w:val="16"/>
          <w:b w:val="1"/>
          <w:bCs w:val="1"/>
          <w:i w:val="1"/>
          <w:iCs w:val="1"/>
          <w:color w:val="auto"/>
        </w:rPr>
        <w:t>PSU Award Agreement</w:t>
      </w:r>
      <w:r>
        <w:rPr>
          <w:rFonts w:ascii="Times New Roman" w:cs="Times New Roman" w:eastAsia="Times New Roman" w:hAnsi="Times New Roman"/>
          <w:sz w:val="16"/>
          <w:szCs w:val="16"/>
          <w:color w:val="auto"/>
        </w:rPr>
        <w:t>”) may not be modified, amended or revised except in a writing signed by you and a duly authorized officer of the Company.</w:t>
      </w:r>
    </w:p>
    <w:p>
      <w:pPr>
        <w:spacing w:after="0" w:line="158" w:lineRule="exact"/>
        <w:rPr>
          <w:rFonts w:ascii="Times New Roman" w:cs="Times New Roman" w:eastAsia="Times New Roman" w:hAnsi="Times New Roman"/>
          <w:sz w:val="16"/>
          <w:szCs w:val="16"/>
          <w:color w:val="auto"/>
        </w:rPr>
      </w:pPr>
    </w:p>
    <w:p>
      <w:pPr>
        <w:jc w:val="both"/>
        <w:ind w:left="520" w:hanging="260"/>
        <w:spacing w:after="0"/>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have read and are familiar with the provisions of the Plan (including, without limitation, the forfeiture, recoupment and clawback provisions set forth in Sections 5(b) and 9(i) of the Plan), the PSU Award Agreement and the Prospectus. In the event of any conflict between the provisions in the PSU Award Agreement or the Prospectus and the terms of the Plan, the terms of the Plan shall control.</w:t>
      </w:r>
    </w:p>
    <w:p>
      <w:pPr>
        <w:spacing w:after="0" w:line="169"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PSU Award Agreement sets forth the entire understanding between you and the Company regarding the acquisition of Common Stock and supersedes all prior oral and written agreements,</w:t>
      </w:r>
    </w:p>
    <w:p>
      <w:pPr>
        <w:sectPr>
          <w:pgSz w:w="11900" w:h="16838" w:orient="portrait"/>
          <w:cols w:equalWidth="0" w:num="1">
            <w:col w:w="11280"/>
          </w:cols>
          <w:pgMar w:left="300" w:top="501" w:right="319" w:bottom="1440" w:gutter="0" w:footer="0" w:header="0"/>
        </w:sectPr>
      </w:pPr>
    </w:p>
    <w:bookmarkStart w:id="70" w:name="page71"/>
    <w:bookmarkEnd w:id="70"/>
    <w:p>
      <w:pPr>
        <w:jc w:val="both"/>
        <w:ind w:left="500"/>
        <w:spacing w:after="0"/>
        <w:rPr>
          <w:sz w:val="20"/>
          <w:szCs w:val="20"/>
          <w:color w:val="auto"/>
        </w:rPr>
      </w:pPr>
      <w:r>
        <w:rPr>
          <w:rFonts w:ascii="Times New Roman" w:cs="Times New Roman" w:eastAsia="Times New Roman" w:hAnsi="Times New Roman"/>
          <w:sz w:val="16"/>
          <w:szCs w:val="16"/>
          <w:color w:val="auto"/>
        </w:rPr>
        <w:t>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PSU Award.</w:t>
      </w:r>
    </w:p>
    <w:p>
      <w:pPr>
        <w:sectPr>
          <w:pgSz w:w="11900" w:h="16838" w:orient="portrait"/>
          <w:cols w:equalWidth="0" w:num="1">
            <w:col w:w="11260"/>
          </w:cols>
          <w:pgMar w:left="320" w:top="1139" w:right="319" w:bottom="1440" w:gutter="0" w:footer="0" w:header="0"/>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PROGYNY, INC.</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4"/>
          <w:szCs w:val="14"/>
          <w:b w:val="1"/>
          <w:bCs w:val="1"/>
          <w:color w:val="auto"/>
        </w:rPr>
        <w:t>PARTICIPANT:</w:t>
      </w:r>
    </w:p>
    <w:p>
      <w:pPr>
        <w:spacing w:after="0" w:line="200" w:lineRule="exact"/>
        <w:rPr>
          <w:sz w:val="20"/>
          <w:szCs w:val="20"/>
          <w:color w:val="auto"/>
        </w:rPr>
      </w:pPr>
    </w:p>
    <w:p>
      <w:pPr>
        <w:sectPr>
          <w:pgSz w:w="11900" w:h="16838" w:orient="portrait"/>
          <w:cols w:equalWidth="0" w:num="2">
            <w:col w:w="4820" w:space="720"/>
            <w:col w:w="5720"/>
          </w:cols>
          <w:pgMar w:left="320" w:top="1139" w:right="319" w:bottom="1440" w:gutter="0" w:footer="0" w:header="0"/>
          <w:type w:val="continuous"/>
        </w:sectPr>
      </w:pP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By:________________________________________ Signature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 Signature</w:t>
      </w:r>
    </w:p>
    <w:p>
      <w:pPr>
        <w:spacing w:after="0" w:line="41" w:lineRule="exact"/>
        <w:rPr>
          <w:sz w:val="20"/>
          <w:szCs w:val="20"/>
          <w:color w:val="auto"/>
        </w:rPr>
      </w:pPr>
    </w:p>
    <w:p>
      <w:pPr>
        <w:sectPr>
          <w:pgSz w:w="11900" w:h="16838" w:orient="portrait"/>
          <w:cols w:equalWidth="0" w:num="2">
            <w:col w:w="5660" w:space="720"/>
            <w:col w:w="4880"/>
          </w:cols>
          <w:pgMar w:left="320" w:top="113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Title:________________________________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Date:____________________________________</w:t>
      </w:r>
    </w:p>
    <w:p>
      <w:pPr>
        <w:spacing w:after="0" w:line="41" w:lineRule="exact"/>
        <w:rPr>
          <w:sz w:val="20"/>
          <w:szCs w:val="20"/>
          <w:color w:val="auto"/>
        </w:rPr>
      </w:pPr>
    </w:p>
    <w:p>
      <w:pPr>
        <w:sectPr>
          <w:pgSz w:w="11900" w:h="16838" w:orient="portrait"/>
          <w:cols w:equalWidth="0" w:num="2">
            <w:col w:w="4800" w:space="720"/>
            <w:col w:w="5740"/>
          </w:cols>
          <w:pgMar w:left="320" w:top="113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Date:________________________________</w:t>
      </w:r>
    </w:p>
    <w:p>
      <w:pPr>
        <w:sectPr>
          <w:pgSz w:w="11900" w:h="16838" w:orient="portrait"/>
          <w:cols w:equalWidth="0" w:num="1">
            <w:col w:w="11260"/>
          </w:cols>
          <w:pgMar w:left="320" w:top="1139" w:right="31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2019 EQUITY INCENTIVE PLAN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AWARD AGREEMENT (PSU AWARD)</w:t>
      </w:r>
    </w:p>
    <w:p>
      <w:pPr>
        <w:spacing w:after="0" w:line="6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6"/>
          <w:szCs w:val="16"/>
          <w:color w:val="auto"/>
        </w:rPr>
        <w:t>As reflected by your PSU Grant Notice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Progyny,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granted you a PSU Award under its 2019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for the number of restricted stock units as indicated in your Grant Notice (the “</w:t>
      </w:r>
      <w:r>
        <w:rPr>
          <w:rFonts w:ascii="Times New Roman" w:cs="Times New Roman" w:eastAsia="Times New Roman" w:hAnsi="Times New Roman"/>
          <w:sz w:val="16"/>
          <w:szCs w:val="16"/>
          <w:b w:val="1"/>
          <w:bCs w:val="1"/>
          <w:i w:val="1"/>
          <w:iCs w:val="1"/>
          <w:color w:val="auto"/>
        </w:rPr>
        <w:t>PSU Award</w:t>
      </w:r>
      <w:r>
        <w:rPr>
          <w:rFonts w:ascii="Times New Roman" w:cs="Times New Roman" w:eastAsia="Times New Roman" w:hAnsi="Times New Roman"/>
          <w:sz w:val="16"/>
          <w:szCs w:val="16"/>
          <w:color w:val="auto"/>
        </w:rPr>
        <w:t>”). The terms of your PSU Award as specified in this Award Agreement for your PSU Award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and the Grant Notice constitute your “</w:t>
      </w:r>
      <w:r>
        <w:rPr>
          <w:rFonts w:ascii="Times New Roman" w:cs="Times New Roman" w:eastAsia="Times New Roman" w:hAnsi="Times New Roman"/>
          <w:sz w:val="16"/>
          <w:szCs w:val="16"/>
          <w:b w:val="1"/>
          <w:bCs w:val="1"/>
          <w:i w:val="1"/>
          <w:iCs w:val="1"/>
          <w:color w:val="auto"/>
        </w:rPr>
        <w:t>PSU Award Agreement</w:t>
      </w:r>
      <w:r>
        <w:rPr>
          <w:rFonts w:ascii="Times New Roman" w:cs="Times New Roman" w:eastAsia="Times New Roman" w:hAnsi="Times New Roman"/>
          <w:sz w:val="16"/>
          <w:szCs w:val="16"/>
          <w:color w:val="auto"/>
        </w:rPr>
        <w:t>”. Defined terms not explicitly defined in this Agreement but defined in the Grant Notice or the Plan shall have the same definitions as in the Grant Notice or Plan, as applicable.</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general terms applicable to your PSU Award are as follows:</w:t>
      </w:r>
    </w:p>
    <w:p>
      <w:pPr>
        <w:spacing w:after="0" w:line="175" w:lineRule="exact"/>
        <w:rPr>
          <w:sz w:val="20"/>
          <w:szCs w:val="20"/>
          <w:color w:val="auto"/>
        </w:rPr>
      </w:pPr>
    </w:p>
    <w:p>
      <w:pPr>
        <w:jc w:val="both"/>
        <w:ind w:firstLine="514"/>
        <w:spacing w:after="0" w:line="241" w:lineRule="auto"/>
        <w:tabs>
          <w:tab w:leader="none" w:pos="1018"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GOVERNING PLAN DOCUMENT. </w:t>
      </w:r>
      <w:r>
        <w:rPr>
          <w:rFonts w:ascii="Times New Roman" w:cs="Times New Roman" w:eastAsia="Times New Roman" w:hAnsi="Times New Roman"/>
          <w:sz w:val="16"/>
          <w:szCs w:val="16"/>
          <w:color w:val="auto"/>
        </w:rPr>
        <w:t>Your PSU Award is subject to all the provisions of the Plan. Your PSU Award is further subject to all interpretations,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amendments, rules and regulations, which may from time to time be promulgated and adopted pursuant to the Plan. In the event of any conflict between the PSU Award Agreement and the provisions of the Plan, the provisions of the Plan shall control.</w:t>
      </w:r>
    </w:p>
    <w:p>
      <w:pPr>
        <w:spacing w:after="0" w:line="167" w:lineRule="exact"/>
        <w:rPr>
          <w:rFonts w:ascii="Times New Roman" w:cs="Times New Roman" w:eastAsia="Times New Roman" w:hAnsi="Times New Roman"/>
          <w:sz w:val="16"/>
          <w:szCs w:val="16"/>
          <w:b w:val="1"/>
          <w:bCs w:val="1"/>
          <w:color w:val="auto"/>
        </w:rPr>
      </w:pPr>
    </w:p>
    <w:p>
      <w:pPr>
        <w:jc w:val="both"/>
        <w:ind w:firstLine="514"/>
        <w:spacing w:after="0" w:line="233" w:lineRule="auto"/>
        <w:tabs>
          <w:tab w:leader="none" w:pos="1018"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GRANT OF THE PSU AWARD. </w:t>
      </w:r>
      <w:r>
        <w:rPr>
          <w:rFonts w:ascii="Times New Roman" w:cs="Times New Roman" w:eastAsia="Times New Roman" w:hAnsi="Times New Roman"/>
          <w:sz w:val="16"/>
          <w:szCs w:val="16"/>
          <w:color w:val="auto"/>
        </w:rPr>
        <w:t>This PSU Award represents your right to be issued on a future date the number of shares of the Company’s Common Stock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equal to the number of restricted stock units indicated in the Grant Notice subject to your satisfaction of the vesting conditions set forth therein (the “</w:t>
      </w:r>
      <w:r>
        <w:rPr>
          <w:rFonts w:ascii="Times New Roman" w:cs="Times New Roman" w:eastAsia="Times New Roman" w:hAnsi="Times New Roman"/>
          <w:sz w:val="16"/>
          <w:szCs w:val="16"/>
          <w:b w:val="1"/>
          <w:bCs w:val="1"/>
          <w:i w:val="1"/>
          <w:iCs w:val="1"/>
          <w:color w:val="auto"/>
        </w:rPr>
        <w:t>Restricted Stock Units</w:t>
      </w:r>
      <w:r>
        <w:rPr>
          <w:rFonts w:ascii="Times New Roman" w:cs="Times New Roman" w:eastAsia="Times New Roman" w:hAnsi="Times New Roman"/>
          <w:sz w:val="16"/>
          <w:szCs w:val="16"/>
          <w:color w:val="auto"/>
        </w:rPr>
        <w:t>”). Any additional Restricted Stock Units that become subject to the PSU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PSU Award.</w:t>
      </w:r>
    </w:p>
    <w:p>
      <w:pPr>
        <w:spacing w:after="0" w:line="167" w:lineRule="exact"/>
        <w:rPr>
          <w:rFonts w:ascii="Times New Roman" w:cs="Times New Roman" w:eastAsia="Times New Roman" w:hAnsi="Times New Roman"/>
          <w:sz w:val="16"/>
          <w:szCs w:val="16"/>
          <w:b w:val="1"/>
          <w:bCs w:val="1"/>
          <w:color w:val="auto"/>
        </w:rPr>
      </w:pPr>
    </w:p>
    <w:p>
      <w:pPr>
        <w:jc w:val="both"/>
        <w:ind w:firstLine="514"/>
        <w:spacing w:after="0" w:line="231" w:lineRule="auto"/>
        <w:tabs>
          <w:tab w:leader="none" w:pos="1018"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DIVIDENDS. </w:t>
      </w:r>
      <w:r>
        <w:rPr>
          <w:rFonts w:ascii="Times New Roman" w:cs="Times New Roman" w:eastAsia="Times New Roman" w:hAnsi="Times New Roman"/>
          <w:sz w:val="16"/>
          <w:szCs w:val="16"/>
          <w:color w:val="auto"/>
        </w:rPr>
        <w:t>You may become entitled to receive payments equal to any cash dividends and other distributions paid with respect to a corresponding number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of Common Stock to be issued in respect of the Restricted Stock Units covered by your PSU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PSU Award (the “</w:t>
      </w:r>
      <w:r>
        <w:rPr>
          <w:rFonts w:ascii="Times New Roman" w:cs="Times New Roman" w:eastAsia="Times New Roman" w:hAnsi="Times New Roman"/>
          <w:sz w:val="16"/>
          <w:szCs w:val="16"/>
          <w:b w:val="1"/>
          <w:bCs w:val="1"/>
          <w:i w:val="1"/>
          <w:iCs w:val="1"/>
          <w:color w:val="auto"/>
        </w:rPr>
        <w:t>Dividend Units</w:t>
      </w:r>
      <w:r>
        <w:rPr>
          <w:rFonts w:ascii="Times New Roman" w:cs="Times New Roman" w:eastAsia="Times New Roman" w:hAnsi="Times New Roman"/>
          <w:sz w:val="16"/>
          <w:szCs w:val="16"/>
          <w:color w:val="auto"/>
        </w:rPr>
        <w:t>”), and further provided that such Dividend Units shall be subject to the same forfeiture restrictions and restrictions on transferability, and same timing requirements for issuance of shares, as apply to the Restricted Stock Units subject to the PSU Award with respect to which the Dividend Units relate.</w:t>
      </w:r>
    </w:p>
    <w:p>
      <w:pPr>
        <w:spacing w:after="0" w:line="171" w:lineRule="exact"/>
        <w:rPr>
          <w:rFonts w:ascii="Times New Roman" w:cs="Times New Roman" w:eastAsia="Times New Roman" w:hAnsi="Times New Roman"/>
          <w:sz w:val="16"/>
          <w:szCs w:val="16"/>
          <w:b w:val="1"/>
          <w:bCs w:val="1"/>
          <w:color w:val="auto"/>
        </w:rPr>
      </w:pPr>
    </w:p>
    <w:p>
      <w:pPr>
        <w:jc w:val="both"/>
        <w:ind w:firstLine="514"/>
        <w:spacing w:after="0" w:line="233" w:lineRule="auto"/>
        <w:tabs>
          <w:tab w:leader="none" w:pos="1018"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WITHHOLDING OBLIGATIONS. </w:t>
      </w:r>
      <w:r>
        <w:rPr>
          <w:rFonts w:ascii="Times New Roman" w:cs="Times New Roman" w:eastAsia="Times New Roman" w:hAnsi="Times New Roman"/>
          <w:sz w:val="16"/>
          <w:szCs w:val="16"/>
          <w:color w:val="auto"/>
        </w:rPr>
        <w:t>As further provided in Section 8 of the Plan, you hereby authorize withholding from payroll and any other amounts payable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and otherwise agree to make adequate provision for, any sums required to satisfy the federal, state, local and foreign tax withholding obligations, if any, which arise in connection with your PSU Award (the “</w:t>
      </w:r>
      <w:r>
        <w:rPr>
          <w:rFonts w:ascii="Times New Roman" w:cs="Times New Roman" w:eastAsia="Times New Roman" w:hAnsi="Times New Roman"/>
          <w:sz w:val="16"/>
          <w:szCs w:val="16"/>
          <w:b w:val="1"/>
          <w:bCs w:val="1"/>
          <w:i w:val="1"/>
          <w:iCs w:val="1"/>
          <w:color w:val="auto"/>
        </w:rPr>
        <w:t>Withholding Taxes</w:t>
      </w:r>
      <w:r>
        <w:rPr>
          <w:rFonts w:ascii="Times New Roman" w:cs="Times New Roman" w:eastAsia="Times New Roman" w:hAnsi="Times New Roman"/>
          <w:sz w:val="16"/>
          <w:szCs w:val="16"/>
          <w:color w:val="auto"/>
        </w:rPr>
        <w:t>”) in accordance with the withholding procedures established by the Company. Unless the Withholding Taxes are satisfied, the Company shall have no obligation to deliver to you any Common Stock in respect of the PSU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ectPr>
          <w:pgSz w:w="11900" w:h="16838" w:orient="portrait"/>
          <w:cols w:equalWidth="0" w:num="1">
            <w:col w:w="11280"/>
          </w:cols>
          <w:pgMar w:left="300" w:top="1137" w:right="319" w:bottom="1440" w:gutter="0" w:footer="0" w:header="0"/>
        </w:sectPr>
      </w:pPr>
    </w:p>
    <w:bookmarkStart w:id="72" w:name="page73"/>
    <w:bookmarkEnd w:id="72"/>
    <w:p>
      <w:pPr>
        <w:ind w:left="1020" w:hanging="506"/>
        <w:spacing w:after="0"/>
        <w:tabs>
          <w:tab w:leader="none" w:pos="102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ISSUANCE.</w:t>
      </w:r>
    </w:p>
    <w:p>
      <w:pPr>
        <w:spacing w:after="0" w:line="176" w:lineRule="exact"/>
        <w:rPr>
          <w:rFonts w:ascii="Times New Roman" w:cs="Times New Roman" w:eastAsia="Times New Roman" w:hAnsi="Times New Roman"/>
          <w:sz w:val="16"/>
          <w:szCs w:val="16"/>
          <w:b w:val="1"/>
          <w:bCs w:val="1"/>
          <w:color w:val="auto"/>
        </w:rPr>
      </w:pPr>
    </w:p>
    <w:p>
      <w:pPr>
        <w:jc w:val="both"/>
        <w:ind w:firstLine="1023"/>
        <w:spacing w:after="0" w:line="239" w:lineRule="auto"/>
        <w:tabs>
          <w:tab w:leader="none" w:pos="1375" w:val="left"/>
        </w:tabs>
        <w:numPr>
          <w:ilvl w:val="1"/>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the extent your PSU Award is exempt from application of Section 409A of the Code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the Company will deliver to you a number of shares of the Company’s Common Stock equal to the number of vested Restricted Stock Units subject to your PSU Award, including any additional Restricted Stock Units received pursuant to Section 3 above that relate to those vested Restricted Stock Units on the applicable vesting date(s), or if such date is not a business day, such delivery date shall instead fall on the next following business day (the “</w:t>
      </w:r>
      <w:r>
        <w:rPr>
          <w:rFonts w:ascii="Times New Roman" w:cs="Times New Roman" w:eastAsia="Times New Roman" w:hAnsi="Times New Roman"/>
          <w:sz w:val="16"/>
          <w:szCs w:val="16"/>
          <w:b w:val="1"/>
          <w:bCs w:val="1"/>
          <w:i w:val="1"/>
          <w:iCs w:val="1"/>
          <w:color w:val="auto"/>
        </w:rPr>
        <w:t>Original Distribution Date</w:t>
      </w:r>
      <w:r>
        <w:rPr>
          <w:rFonts w:ascii="Times New Roman" w:cs="Times New Roman" w:eastAsia="Times New Roman" w:hAnsi="Times New Roman"/>
          <w:sz w:val="16"/>
          <w:szCs w:val="16"/>
          <w:color w:val="auto"/>
        </w:rPr>
        <w:t>”).</w:t>
      </w:r>
    </w:p>
    <w:p>
      <w:pPr>
        <w:spacing w:after="0" w:line="160" w:lineRule="exact"/>
        <w:rPr>
          <w:rFonts w:ascii="Times New Roman" w:cs="Times New Roman" w:eastAsia="Times New Roman" w:hAnsi="Times New Roman"/>
          <w:sz w:val="16"/>
          <w:szCs w:val="16"/>
          <w:b w:val="1"/>
          <w:bCs w:val="1"/>
          <w:color w:val="auto"/>
        </w:rPr>
      </w:pPr>
    </w:p>
    <w:p>
      <w:pPr>
        <w:jc w:val="both"/>
        <w:ind w:firstLine="1023"/>
        <w:spacing w:after="0" w:line="233" w:lineRule="auto"/>
        <w:tabs>
          <w:tab w:leader="none" w:pos="1364" w:val="left"/>
        </w:tabs>
        <w:numPr>
          <w:ilvl w:val="1"/>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Notwithstanding the foregoing, in the event that you are prohibited from selling shares of the Company’s Common Stock in the public market on the scheduled delivery date by the Trading Policy or otherwise, and the Company elects not to satisfy its tax withholding obligations by withholding shares from your distribution, then such shares shall not be delivered on such Original Distribution Date and shall instead be delivered on the first business day when you are not prohibited from selling shares of the Company’s Common Stock in the open market, but in no event later than the fifteenth (15th) day of the third calendar month of the calendar year following the calendar year in which the shares covered by the PSU Award vest. Delivery of the shares pursuant to the provisions of Section 5 is intended to comply with the requirements for the short-term deferral exemption available under Treasury Regulations Section 1.409A-1(b)(4) and shall be construed and administered in such manner. However, if and to the extent the PSU Award is a Non-Exempt Award, the provisions of the Plan with respect to Non-Exempt Awards shall apply in lieu of the provisions in this Section 5.</w:t>
      </w:r>
    </w:p>
    <w:p>
      <w:pPr>
        <w:spacing w:after="0" w:line="169" w:lineRule="exact"/>
        <w:rPr>
          <w:rFonts w:ascii="Times New Roman" w:cs="Times New Roman" w:eastAsia="Times New Roman" w:hAnsi="Times New Roman"/>
          <w:sz w:val="16"/>
          <w:szCs w:val="16"/>
          <w:b w:val="1"/>
          <w:bCs w:val="1"/>
          <w:color w:val="auto"/>
        </w:rPr>
      </w:pPr>
    </w:p>
    <w:p>
      <w:pPr>
        <w:ind w:left="1020" w:hanging="506"/>
        <w:spacing w:after="0"/>
        <w:tabs>
          <w:tab w:leader="none" w:pos="10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 xml:space="preserve">TRANSFERABILITY. </w:t>
      </w:r>
      <w:r>
        <w:rPr>
          <w:rFonts w:ascii="Times New Roman" w:cs="Times New Roman" w:eastAsia="Times New Roman" w:hAnsi="Times New Roman"/>
          <w:sz w:val="16"/>
          <w:szCs w:val="16"/>
          <w:color w:val="auto"/>
        </w:rPr>
        <w:t>Except as otherwise provided in the Plan, your PSU Award is not transferable, except by will or by the applicable laws of descent and</w:t>
      </w:r>
    </w:p>
    <w:p>
      <w:pPr>
        <w:spacing w:after="0" w:line="4"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distribution.</w:t>
      </w:r>
    </w:p>
    <w:p>
      <w:pPr>
        <w:spacing w:after="0" w:line="156" w:lineRule="exact"/>
        <w:rPr>
          <w:rFonts w:ascii="Times New Roman" w:cs="Times New Roman" w:eastAsia="Times New Roman" w:hAnsi="Times New Roman"/>
          <w:sz w:val="17"/>
          <w:szCs w:val="17"/>
          <w:b w:val="1"/>
          <w:bCs w:val="1"/>
          <w:color w:val="auto"/>
        </w:rPr>
      </w:pPr>
    </w:p>
    <w:p>
      <w:pPr>
        <w:jc w:val="both"/>
        <w:ind w:firstLine="514"/>
        <w:spacing w:after="0" w:line="241" w:lineRule="auto"/>
        <w:tabs>
          <w:tab w:leader="none" w:pos="1018"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CORPORATE TRANSACTION. </w:t>
      </w:r>
      <w:r>
        <w:rPr>
          <w:rFonts w:ascii="Times New Roman" w:cs="Times New Roman" w:eastAsia="Times New Roman" w:hAnsi="Times New Roman"/>
          <w:sz w:val="16"/>
          <w:szCs w:val="16"/>
          <w:color w:val="auto"/>
        </w:rPr>
        <w:t>Your PSU Award is subject to the terms of any agreement governing a Corporate Transaction involving the Company,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limitation, a provision for the appointment of a stockholder representative that is authorized to act on your behalf with respect to any escrow, indemnities and any contingent consideration.</w:t>
      </w:r>
    </w:p>
    <w:p>
      <w:pPr>
        <w:spacing w:after="0" w:line="167" w:lineRule="exact"/>
        <w:rPr>
          <w:rFonts w:ascii="Times New Roman" w:cs="Times New Roman" w:eastAsia="Times New Roman" w:hAnsi="Times New Roman"/>
          <w:sz w:val="16"/>
          <w:szCs w:val="16"/>
          <w:b w:val="1"/>
          <w:bCs w:val="1"/>
          <w:color w:val="auto"/>
        </w:rPr>
      </w:pPr>
    </w:p>
    <w:p>
      <w:pPr>
        <w:jc w:val="both"/>
        <w:ind w:firstLine="514"/>
        <w:spacing w:after="0" w:line="236" w:lineRule="auto"/>
        <w:tabs>
          <w:tab w:leader="none" w:pos="1018"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 LIABILITY FOR TAXES. </w:t>
      </w:r>
      <w:r>
        <w:rPr>
          <w:rFonts w:ascii="Times New Roman" w:cs="Times New Roman" w:eastAsia="Times New Roman" w:hAnsi="Times New Roman"/>
          <w:sz w:val="16"/>
          <w:szCs w:val="16"/>
          <w:color w:val="auto"/>
        </w:rPr>
        <w:t>As a condition to accepting the PSU Award, you hereby (a) agree to not make any claim against the Company, or any of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Officers, Directors, Employees or Affiliates related to tax liabilities arising from the PSU Award or other Company compensation and (b) acknowledge that you were advised to consult with your own personal tax, financial and other legal advisors regarding the tax consequences of the PSU Award and have either done so or knowingly and voluntarily declined to do so.</w:t>
      </w:r>
    </w:p>
    <w:p>
      <w:pPr>
        <w:spacing w:after="0" w:line="167" w:lineRule="exact"/>
        <w:rPr>
          <w:rFonts w:ascii="Times New Roman" w:cs="Times New Roman" w:eastAsia="Times New Roman" w:hAnsi="Times New Roman"/>
          <w:sz w:val="16"/>
          <w:szCs w:val="16"/>
          <w:b w:val="1"/>
          <w:bCs w:val="1"/>
          <w:color w:val="auto"/>
        </w:rPr>
      </w:pPr>
    </w:p>
    <w:p>
      <w:pPr>
        <w:jc w:val="both"/>
        <w:ind w:firstLine="514"/>
        <w:spacing w:after="0" w:line="235" w:lineRule="auto"/>
        <w:tabs>
          <w:tab w:leader="none" w:pos="1019"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 xml:space="preserve">OBLIGATIONS; RECOUPMENT. </w:t>
      </w:r>
      <w:r>
        <w:rPr>
          <w:rFonts w:ascii="Times New Roman" w:cs="Times New Roman" w:eastAsia="Times New Roman" w:hAnsi="Times New Roman"/>
          <w:sz w:val="16"/>
          <w:szCs w:val="16"/>
          <w:color w:val="auto"/>
        </w:rPr>
        <w:t>You hereby acknowledge that the grant of your PSU Award is additional consideration for any obligations (whether during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after employment) that you have to the Company not to compete, not to solicit its customers, clients or employees, not to disclose or misuse confidential information or similar obligations. Accordingly, if the Company reasonably determines that you breached such obligations, in addition to any other available remedy, the Company may recoup any income realized by you with respect to your PSU Award within two years of such breach. In addition, this right to recoupment by the Company applies in the event that your employment is terminated for Cause or if the Company reasonably determines that circumstances existed that it could have terminated your employment for Cause.</w:t>
      </w:r>
    </w:p>
    <w:p>
      <w:pPr>
        <w:spacing w:after="0" w:line="170" w:lineRule="exact"/>
        <w:rPr>
          <w:rFonts w:ascii="Times New Roman" w:cs="Times New Roman" w:eastAsia="Times New Roman" w:hAnsi="Times New Roman"/>
          <w:sz w:val="17"/>
          <w:szCs w:val="17"/>
          <w:b w:val="1"/>
          <w:bCs w:val="1"/>
          <w:color w:val="auto"/>
        </w:rPr>
      </w:pPr>
    </w:p>
    <w:p>
      <w:pPr>
        <w:ind w:firstLine="514"/>
        <w:spacing w:after="0" w:line="247" w:lineRule="auto"/>
        <w:tabs>
          <w:tab w:leader="none" w:pos="1019"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 xml:space="preserve">SEVERABILITY. </w:t>
      </w:r>
      <w:r>
        <w:rPr>
          <w:rFonts w:ascii="Times New Roman" w:cs="Times New Roman" w:eastAsia="Times New Roman" w:hAnsi="Times New Roman"/>
          <w:sz w:val="16"/>
          <w:szCs w:val="16"/>
          <w:color w:val="auto"/>
        </w:rPr>
        <w:t>If any part of this Agreement or the Plan is declared by any court or governmental authority to be unlawful or invalid, such unlawfulness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invalidity will not invalidate any</w:t>
      </w:r>
    </w:p>
    <w:p>
      <w:pPr>
        <w:sectPr>
          <w:pgSz w:w="11900" w:h="16838" w:orient="portrait"/>
          <w:cols w:equalWidth="0" w:num="1">
            <w:col w:w="11280"/>
          </w:cols>
          <w:pgMar w:left="300" w:top="1328" w:right="319" w:bottom="1440" w:gutter="0" w:footer="0" w:header="0"/>
        </w:sectPr>
      </w:pPr>
    </w:p>
    <w:bookmarkStart w:id="73" w:name="page74"/>
    <w:bookmarkEnd w:id="73"/>
    <w:p>
      <w:pPr>
        <w:spacing w:after="0" w:line="245" w:lineRule="auto"/>
        <w:rPr>
          <w:sz w:val="20"/>
          <w:szCs w:val="20"/>
          <w:color w:val="auto"/>
        </w:rPr>
      </w:pPr>
      <w:r>
        <w:rPr>
          <w:rFonts w:ascii="Times New Roman" w:cs="Times New Roman" w:eastAsia="Times New Roman" w:hAnsi="Times New Roman"/>
          <w:sz w:val="16"/>
          <w:szCs w:val="16"/>
          <w:color w:val="auto"/>
        </w:rPr>
        <w:t>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4" w:lineRule="exact"/>
        <w:rPr>
          <w:sz w:val="20"/>
          <w:szCs w:val="20"/>
          <w:color w:val="auto"/>
        </w:rPr>
      </w:pPr>
    </w:p>
    <w:p>
      <w:pPr>
        <w:ind w:firstLine="514"/>
        <w:spacing w:after="0" w:line="247" w:lineRule="auto"/>
        <w:tabs>
          <w:tab w:leader="none" w:pos="1009"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 xml:space="preserve">OTHER DOCUMENTS. </w:t>
      </w:r>
      <w:r>
        <w:rPr>
          <w:rFonts w:ascii="Times New Roman" w:cs="Times New Roman" w:eastAsia="Times New Roman" w:hAnsi="Times New Roman"/>
          <w:sz w:val="16"/>
          <w:szCs w:val="16"/>
          <w:color w:val="auto"/>
        </w:rPr>
        <w:t>You hereby acknowledge receipt of or the right to receive a document providing the information required by Rule 428(b)(1) promulgated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the Securities Act, which includes the Prospectus. In addition, you acknowledge receipt of the Company’s Trading Policy.</w:t>
      </w:r>
    </w:p>
    <w:p>
      <w:pPr>
        <w:spacing w:after="0" w:line="161" w:lineRule="exact"/>
        <w:rPr>
          <w:rFonts w:ascii="Times New Roman" w:cs="Times New Roman" w:eastAsia="Times New Roman" w:hAnsi="Times New Roman"/>
          <w:sz w:val="17"/>
          <w:szCs w:val="17"/>
          <w:b w:val="1"/>
          <w:bCs w:val="1"/>
          <w:color w:val="auto"/>
        </w:rPr>
      </w:pPr>
    </w:p>
    <w:p>
      <w:pPr>
        <w:ind w:firstLine="514"/>
        <w:spacing w:after="0" w:line="247" w:lineRule="auto"/>
        <w:tabs>
          <w:tab w:leader="none" w:pos="1019"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 xml:space="preserve">QUESTIONS. </w:t>
      </w:r>
      <w:r>
        <w:rPr>
          <w:rFonts w:ascii="Times New Roman" w:cs="Times New Roman" w:eastAsia="Times New Roman" w:hAnsi="Times New Roman"/>
          <w:sz w:val="16"/>
          <w:szCs w:val="16"/>
          <w:color w:val="auto"/>
        </w:rPr>
        <w:t>If you have questions regarding these or any other terms and conditions applicable to your PSU Award, including a summary of the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federal income tax consequences, please see the Prospectus.</w:t>
      </w:r>
    </w:p>
    <w:p>
      <w:pPr>
        <w:sectPr>
          <w:pgSz w:w="11900" w:h="16838" w:orient="portrait"/>
          <w:cols w:equalWidth="0" w:num="1">
            <w:col w:w="11280"/>
          </w:cols>
          <w:pgMar w:left="300" w:top="1139" w:right="319" w:bottom="1440" w:gutter="0" w:footer="0" w:header="0"/>
        </w:sectPr>
      </w:pPr>
    </w:p>
    <w:bookmarkStart w:id="74" w:name="page75"/>
    <w:bookmarkEnd w:id="74"/>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47" w:lineRule="auto"/>
        <w:tabs>
          <w:tab w:leader="none" w:pos="1019" w:val="left"/>
        </w:tabs>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47" w:lineRule="auto"/>
        <w:tabs>
          <w:tab w:leader="none" w:pos="10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47" w:lineRule="auto"/>
        <w:tabs>
          <w:tab w:leader="none" w:pos="1019" w:val="left"/>
        </w:tabs>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Peter Anevski, certify that:</w:t>
      </w:r>
    </w:p>
    <w:p>
      <w:pPr>
        <w:spacing w:after="0" w:line="179"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Progyny, Inc.;</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4460" w:val="left"/>
          <w:tab w:leader="none" w:pos="7660" w:val="left"/>
        </w:tabs>
        <w:rPr>
          <w:sz w:val="20"/>
          <w:szCs w:val="20"/>
          <w:color w:val="auto"/>
        </w:rPr>
      </w:pPr>
      <w:r>
        <w:rPr>
          <w:rFonts w:ascii="Times New Roman" w:cs="Times New Roman" w:eastAsia="Times New Roman" w:hAnsi="Times New Roman"/>
          <w:sz w:val="14"/>
          <w:szCs w:val="14"/>
          <w:color w:val="auto"/>
        </w:rPr>
        <w:t>Date: August 8,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21590</wp:posOffset>
            </wp:positionV>
            <wp:extent cx="397510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3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Peter Anevski</w:t>
      </w:r>
    </w:p>
    <w:p>
      <w:pPr>
        <w:spacing w:after="0" w:line="5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929"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Livingston, certify that:</w:t>
      </w:r>
    </w:p>
    <w:p>
      <w:pPr>
        <w:spacing w:after="0" w:line="179" w:lineRule="exact"/>
        <w:rPr>
          <w:sz w:val="20"/>
          <w:szCs w:val="20"/>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Progyny, Inc.;</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4860" w:val="left"/>
          <w:tab w:leader="none" w:pos="7760" w:val="left"/>
        </w:tabs>
        <w:rPr>
          <w:sz w:val="20"/>
          <w:szCs w:val="20"/>
          <w:color w:val="auto"/>
        </w:rPr>
      </w:pPr>
      <w:r>
        <w:rPr>
          <w:rFonts w:ascii="Times New Roman" w:cs="Times New Roman" w:eastAsia="Times New Roman" w:hAnsi="Times New Roman"/>
          <w:sz w:val="14"/>
          <w:szCs w:val="14"/>
          <w:color w:val="auto"/>
        </w:rPr>
        <w:t>Date: August 8,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21590</wp:posOffset>
            </wp:positionV>
            <wp:extent cx="372554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Mark Livingston</w:t>
      </w:r>
    </w:p>
    <w:p>
      <w:pPr>
        <w:spacing w:after="0" w:line="5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929"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Progyny, Inc. (the “Company”) for the period ended June 30, 2025, as filed with the Securities and Exchange Commission on the date hereof (the “Report”), I certify, pursuant to 18 U.S.C. § 1350, as adopted pursuant to § 906 of the Sarbanes-Oxley Act of 2002, that, to my knowledge:</w:t>
      </w:r>
    </w:p>
    <w:p>
      <w:pPr>
        <w:spacing w:after="0" w:line="124" w:lineRule="exact"/>
        <w:rPr>
          <w:sz w:val="20"/>
          <w:szCs w:val="20"/>
          <w:color w:val="auto"/>
        </w:rPr>
      </w:pPr>
    </w:p>
    <w:p>
      <w:pPr>
        <w:ind w:left="500" w:hanging="240"/>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tabs>
          <w:tab w:leader="none" w:pos="4620" w:val="left"/>
          <w:tab w:leader="none" w:pos="7680" w:val="left"/>
        </w:tabs>
        <w:rPr>
          <w:sz w:val="20"/>
          <w:szCs w:val="20"/>
          <w:color w:val="auto"/>
        </w:rPr>
      </w:pPr>
      <w:r>
        <w:rPr>
          <w:rFonts w:ascii="Times New Roman" w:cs="Times New Roman" w:eastAsia="Times New Roman" w:hAnsi="Times New Roman"/>
          <w:sz w:val="14"/>
          <w:szCs w:val="14"/>
          <w:color w:val="auto"/>
        </w:rPr>
        <w:t>Date: August 8,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21590</wp:posOffset>
            </wp:positionV>
            <wp:extent cx="394144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41445" cy="6985"/>
                    </a:xfrm>
                    <a:prstGeom prst="rect">
                      <a:avLst/>
                    </a:prstGeom>
                    <a:noFill/>
                  </pic:spPr>
                </pic:pic>
              </a:graphicData>
            </a:graphic>
          </wp:anchor>
        </w:drawing>
      </w:r>
    </w:p>
    <w:p>
      <w:pPr>
        <w:spacing w:after="0" w:line="3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color w:val="auto"/>
        </w:rPr>
        <w:t>Peter Anevski</w:t>
      </w:r>
    </w:p>
    <w:p>
      <w:pPr>
        <w:spacing w:after="0" w:line="5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929" w:right="3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Progyny, Inc. (the “Company”) for the period ended June 30, 2025, as filed with the Securities and Exchange Commission on the date hereof (the “Report”), I certify, pursuant to 18 U.S.C. § 1350, as adopted pursuant to § 906 of the Sarbanes-Oxley Act of 2002, that, to my knowledge:</w:t>
      </w:r>
    </w:p>
    <w:p>
      <w:pPr>
        <w:spacing w:after="0" w:line="124" w:lineRule="exact"/>
        <w:rPr>
          <w:sz w:val="20"/>
          <w:szCs w:val="20"/>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tabs>
          <w:tab w:leader="none" w:pos="4640" w:val="left"/>
          <w:tab w:leader="none" w:pos="7620" w:val="left"/>
        </w:tabs>
        <w:rPr>
          <w:sz w:val="20"/>
          <w:szCs w:val="20"/>
          <w:color w:val="auto"/>
        </w:rPr>
      </w:pPr>
      <w:r>
        <w:rPr>
          <w:rFonts w:ascii="Times New Roman" w:cs="Times New Roman" w:eastAsia="Times New Roman" w:hAnsi="Times New Roman"/>
          <w:sz w:val="14"/>
          <w:szCs w:val="14"/>
          <w:color w:val="auto"/>
        </w:rPr>
        <w:t>Date: August 8,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21590</wp:posOffset>
            </wp:positionV>
            <wp:extent cx="392112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21125" cy="6985"/>
                    </a:xfrm>
                    <a:prstGeom prst="rect">
                      <a:avLst/>
                    </a:prstGeom>
                    <a:noFill/>
                  </pic:spPr>
                </pic:pic>
              </a:graphicData>
            </a:graphic>
          </wp:anchor>
        </w:drawing>
      </w:r>
    </w:p>
    <w:p>
      <w:pPr>
        <w:spacing w:after="0" w:line="3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color w:val="auto"/>
        </w:rPr>
        <w:t>Mark Livingston</w:t>
      </w:r>
    </w:p>
    <w:p>
      <w:pPr>
        <w:spacing w:after="0" w:line="5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9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4"/>
    </w:lvl>
  </w:abstractNum>
  <w:abstractNum w:abstractNumId="8">
    <w:nsid w:val="4353D0CD"/>
    <w:multiLevelType w:val="hybridMultilevel"/>
    <w:lvl w:ilvl="0">
      <w:lvlJc w:val="left"/>
      <w:lvlText w:val="%1."/>
      <w:numFmt w:val="decimal"/>
      <w:start w:val="5"/>
    </w:lvl>
  </w:abstractNum>
  <w:abstractNum w:abstractNumId="9">
    <w:nsid w:val="B03E0C6"/>
    <w:multiLevelType w:val="hybridMultilevel"/>
    <w:lvl w:ilvl="0">
      <w:lvlJc w:val="left"/>
      <w:lvlText w:val="%1."/>
      <w:numFmt w:val="decimal"/>
      <w:start w:val="6"/>
    </w:lvl>
  </w:abstractNum>
  <w:abstractNum w:abstractNumId="10">
    <w:nsid w:val="189A769B"/>
    <w:multiLevelType w:val="hybridMultilevel"/>
    <w:lvl w:ilvl="0">
      <w:lvlJc w:val="left"/>
      <w:lvlText w:val="%1."/>
      <w:numFmt w:val="decimal"/>
      <w:start w:val="7"/>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8"/>
    </w:lvl>
  </w:abstractNum>
  <w:abstractNum w:abstractNumId="13">
    <w:nsid w:val="2CA88611"/>
    <w:multiLevelType w:val="hybridMultilevel"/>
    <w:lvl w:ilvl="0">
      <w:lvlJc w:val="left"/>
      <w:lvlText w:val="%1."/>
      <w:numFmt w:val="decimal"/>
      <w:start w:val="9"/>
    </w:lvl>
  </w:abstractNum>
  <w:abstractNum w:abstractNumId="14">
    <w:nsid w:val="836C40E"/>
    <w:multiLevelType w:val="hybridMultilevel"/>
    <w:lvl w:ilvl="0">
      <w:lvlJc w:val="left"/>
      <w:lvlText w:val="%1."/>
      <w:numFmt w:val="decimal"/>
      <w:start w:val="10"/>
    </w:lvl>
  </w:abstractNum>
  <w:abstractNum w:abstractNumId="15">
    <w:nsid w:val="2901D82"/>
    <w:multiLevelType w:val="hybridMultilevel"/>
    <w:lvl w:ilvl="0">
      <w:lvlJc w:val="left"/>
      <w:lvlText w:val="%1."/>
      <w:numFmt w:val="decimal"/>
      <w:start w:val="11"/>
    </w:lvl>
  </w:abstractNum>
  <w:abstractNum w:abstractNumId="16">
    <w:nsid w:val="3A95F874"/>
    <w:multiLevelType w:val="hybridMultilevel"/>
    <w:lvl w:ilvl="0">
      <w:lvlJc w:val="left"/>
      <w:lvlText w:val="%1."/>
      <w:numFmt w:val="decimal"/>
      <w:start w:val="12"/>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2"/>
    </w:lvl>
  </w:abstractNum>
  <w:abstractNum w:abstractNumId="21">
    <w:nsid w:val="6CEAF087"/>
    <w:multiLevelType w:val="hybridMultilevel"/>
    <w:lvl w:ilvl="0">
      <w:lvlJc w:val="left"/>
      <w:lvlText w:val="(%1)"/>
      <w:numFmt w:val="decimal"/>
      <w:start w:val="2"/>
    </w:lvl>
  </w:abstractNum>
  <w:abstractNum w:abstractNumId="22">
    <w:nsid w:val="22221A70"/>
    <w:multiLevelType w:val="hybridMultilevel"/>
    <w:lvl w:ilvl="0">
      <w:lvlJc w:val="left"/>
      <w:lvlText w:val="\emdash "/>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5"/>
    </w:lvl>
    <w:lvl w:ilvl="1">
      <w:lvlJc w:val="left"/>
      <w:lvlText w:val="(%2)"/>
      <w:numFmt w:val="lowerLetter"/>
      <w:start w:val="1"/>
    </w:lvl>
  </w:abstractNum>
  <w:abstractNum w:abstractNumId="37">
    <w:nsid w:val="2D517796"/>
    <w:multiLevelType w:val="hybridMultilevel"/>
    <w:lvl w:ilvl="0">
      <w:lvlJc w:val="left"/>
      <w:lvlText w:val="%1."/>
      <w:numFmt w:val="decimal"/>
      <w:start w:val="1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2025-08-08T08:10:00Z</dcterms:created>
  <dcterms:modified xsi:type="dcterms:W3CDTF">2025-08-08T08:10:00Z</dcterms:modified>
</cp:coreProperties>
</file>