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97155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01"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6" w:lineRule="exact"/>
        <w:rPr>
          <w:sz w:val="24"/>
          <w:szCs w:val="24"/>
          <w:color w:val="auto"/>
        </w:rPr>
      </w:pPr>
    </w:p>
    <w:p>
      <w:pPr>
        <w:ind w:left="488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2240" w:right="1200" w:hanging="2232"/>
        <w:spacing w:after="0" w:line="382" w:lineRule="auto"/>
        <w:tabs>
          <w:tab w:leader="none" w:pos="48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___________________ to ___________________</w:t>
      </w:r>
    </w:p>
    <w:p>
      <w:pPr>
        <w:ind w:left="36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88900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Progyny, Inc.</w:t>
      </w:r>
    </w:p>
    <w:p>
      <w:pPr>
        <w:sectPr>
          <w:pgSz w:w="11900" w:h="16838" w:orient="portrait"/>
          <w:cols w:equalWidth="0" w:num="1">
            <w:col w:w="9940"/>
          </w:cols>
          <w:pgMar w:left="980" w:top="665" w:right="979" w:bottom="1440" w:gutter="0" w:footer="0" w:header="0"/>
        </w:sectPr>
      </w:pPr>
    </w:p>
    <w:p>
      <w:pPr>
        <w:spacing w:after="0" w:line="5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00"/>
        <w:spacing w:after="0"/>
        <w:rPr>
          <w:sz w:val="20"/>
          <w:szCs w:val="20"/>
          <w:color w:val="auto"/>
        </w:rPr>
      </w:pPr>
      <w:r>
        <w:rPr>
          <w:rFonts w:ascii="Arial" w:cs="Arial" w:eastAsia="Arial" w:hAnsi="Arial"/>
          <w:sz w:val="11"/>
          <w:szCs w:val="11"/>
          <w:b w:val="1"/>
          <w:bCs w:val="1"/>
          <w:color w:val="auto"/>
        </w:rPr>
        <w:t>(State or other jurisdiction of</w:t>
      </w:r>
    </w:p>
    <w:p>
      <w:pPr>
        <w:ind w:left="1780"/>
        <w:spacing w:after="0"/>
        <w:rPr>
          <w:sz w:val="20"/>
          <w:szCs w:val="20"/>
          <w:color w:val="auto"/>
        </w:rPr>
      </w:pPr>
      <w:r>
        <w:rPr>
          <w:rFonts w:ascii="Arial" w:cs="Arial" w:eastAsia="Arial" w:hAnsi="Arial"/>
          <w:sz w:val="11"/>
          <w:szCs w:val="11"/>
          <w:b w:val="1"/>
          <w:bCs w:val="1"/>
          <w:color w:val="auto"/>
        </w:rPr>
        <w:t>incorporation or organization)</w:t>
      </w:r>
    </w:p>
    <w:p>
      <w:pPr>
        <w:spacing w:after="0" w:line="2"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1359 Broadway</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27-2220139</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35"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10018</w:t>
      </w:r>
    </w:p>
    <w:p>
      <w:pPr>
        <w:spacing w:after="0" w:line="86" w:lineRule="exact"/>
        <w:rPr>
          <w:sz w:val="24"/>
          <w:szCs w:val="24"/>
          <w:color w:val="auto"/>
        </w:rPr>
      </w:pPr>
    </w:p>
    <w:p>
      <w:pPr>
        <w:sectPr>
          <w:pgSz w:w="11900" w:h="16838" w:orient="portrait"/>
          <w:cols w:equalWidth="0" w:num="2">
            <w:col w:w="6760" w:space="260"/>
            <w:col w:w="2920"/>
          </w:cols>
          <w:pgMar w:left="980" w:top="665" w:right="979" w:bottom="1440" w:gutter="0" w:footer="0" w:header="0"/>
          <w:type w:val="continuous"/>
        </w:sectPr>
      </w:pPr>
    </w:p>
    <w:p>
      <w:pPr>
        <w:ind w:left="1580"/>
        <w:spacing w:after="0"/>
        <w:tabs>
          <w:tab w:leader="none" w:pos="716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(212) 888-3124</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630110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386080"/>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Borders>
              <w:top w:val="single" w:sz="8" w:color="auto"/>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9"/>
        </w:trPr>
        <w:tc>
          <w:tcPr>
            <w:tcW w:w="3340" w:type="dxa"/>
            <w:vAlign w:val="bottom"/>
          </w:tcPr>
          <w:p>
            <w:pPr>
              <w:jc w:val="center"/>
              <w:ind w:left="88"/>
              <w:spacing w:after="0"/>
              <w:rPr>
                <w:sz w:val="20"/>
                <w:szCs w:val="20"/>
                <w:color w:val="auto"/>
              </w:rPr>
            </w:pPr>
            <w:r>
              <w:rPr>
                <w:rFonts w:ascii="Arial" w:cs="Arial" w:eastAsia="Arial" w:hAnsi="Arial"/>
                <w:sz w:val="14"/>
                <w:szCs w:val="14"/>
                <w:color w:val="auto"/>
                <w:w w:val="94"/>
              </w:rPr>
              <w:t>Common Stock,</w:t>
            </w:r>
          </w:p>
        </w:tc>
        <w:tc>
          <w:tcPr>
            <w:tcW w:w="2860" w:type="dxa"/>
            <w:vAlign w:val="bottom"/>
          </w:tcPr>
          <w:p>
            <w:pPr>
              <w:jc w:val="center"/>
              <w:ind w:left="348"/>
              <w:spacing w:after="0"/>
              <w:rPr>
                <w:sz w:val="20"/>
                <w:szCs w:val="20"/>
                <w:color w:val="auto"/>
              </w:rPr>
            </w:pPr>
            <w:r>
              <w:rPr>
                <w:rFonts w:ascii="Arial" w:cs="Arial" w:eastAsia="Arial" w:hAnsi="Arial"/>
                <w:sz w:val="14"/>
                <w:szCs w:val="14"/>
                <w:color w:val="auto"/>
              </w:rPr>
              <w:t>PGNY</w:t>
            </w:r>
          </w:p>
        </w:tc>
        <w:tc>
          <w:tcPr>
            <w:tcW w:w="3740" w:type="dxa"/>
            <w:vAlign w:val="bottom"/>
          </w:tcPr>
          <w:p>
            <w:pPr>
              <w:jc w:val="center"/>
              <w:ind w:left="188"/>
              <w:spacing w:after="0"/>
              <w:rPr>
                <w:sz w:val="20"/>
                <w:szCs w:val="20"/>
                <w:color w:val="auto"/>
              </w:rPr>
            </w:pPr>
            <w:r>
              <w:rPr>
                <w:rFonts w:ascii="Arial" w:cs="Arial" w:eastAsia="Arial" w:hAnsi="Arial"/>
                <w:sz w:val="14"/>
                <w:szCs w:val="14"/>
                <w:color w:val="auto"/>
                <w:w w:val="93"/>
              </w:rPr>
              <w:t>The Nasdaq Global Select Market</w:t>
            </w:r>
          </w:p>
        </w:tc>
      </w:tr>
    </w:tbl>
    <w:p>
      <w:pPr>
        <w:ind w:left="960"/>
        <w:spacing w:after="0"/>
        <w:rPr>
          <w:sz w:val="20"/>
          <w:szCs w:val="20"/>
          <w:color w:val="auto"/>
        </w:rPr>
      </w:pPr>
      <w:r>
        <w:rPr>
          <w:rFonts w:ascii="Arial" w:cs="Arial" w:eastAsia="Arial" w:hAnsi="Arial"/>
          <w:sz w:val="14"/>
          <w:szCs w:val="14"/>
          <w:color w:val="auto"/>
        </w:rPr>
        <w:t>$0.0001 par value per share</w:t>
      </w:r>
    </w:p>
    <w:p>
      <w:pPr>
        <w:spacing w:after="0" w:line="151" w:lineRule="exact"/>
        <w:rPr>
          <w:sz w:val="24"/>
          <w:szCs w:val="24"/>
          <w:color w:val="auto"/>
        </w:rPr>
      </w:pPr>
    </w:p>
    <w:p>
      <w:pPr>
        <w:jc w:val="both"/>
        <w:ind w:right="20" w:firstLine="51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60" w:val="left"/>
          <w:tab w:leader="none" w:pos="10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32" w:lineRule="exact"/>
        <w:rPr>
          <w:sz w:val="24"/>
          <w:szCs w:val="24"/>
          <w:color w:val="auto"/>
        </w:rPr>
      </w:pPr>
    </w:p>
    <w:p>
      <w:pPr>
        <w:jc w:val="both"/>
        <w:ind w:right="2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51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1820" w:firstLine="518"/>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r>
        <w:rPr>
          <w:rFonts w:ascii="Arial" w:cs="Arial" w:eastAsia="Arial" w:hAnsi="Arial"/>
          <w:sz w:val="14"/>
          <w:szCs w:val="14"/>
          <w:color w:val="auto"/>
        </w:rPr>
        <w:t xml:space="preserve"> As of October 31, 2021, the registrant had 90,430,297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60" w:type="dxa"/>
            <w:vAlign w:val="bottom"/>
            <w:gridSpan w:val="29"/>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460" w:type="dxa"/>
            <w:vAlign w:val="bottom"/>
            <w:gridSpan w:val="29"/>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100" w:type="dxa"/>
            <w:vAlign w:val="bottom"/>
            <w:gridSpan w:val="3"/>
          </w:tcPr>
          <w:p>
            <w:pPr>
              <w:spacing w:after="0"/>
              <w:rPr>
                <w:sz w:val="24"/>
                <w:szCs w:val="24"/>
                <w:color w:val="auto"/>
              </w:rPr>
            </w:pPr>
          </w:p>
        </w:tc>
        <w:tc>
          <w:tcPr>
            <w:tcW w:w="774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 as of September 30, 2021 and December 31, 2020</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Consolidated Statements of Operations for the Three and Nine Months Ended September 30, 2021 and</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ind w:left="14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2020</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Comprehensive Income (Loss) for the Three and Nine Months Ended</w:t>
              </w:r>
            </w:hyperlink>
          </w:p>
        </w:tc>
        <w:tc>
          <w:tcPr>
            <w:tcW w:w="58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September 30, 2021 and 2020</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Statements of Changes in Stockholders’ Equity for the Three and Nine Months Ended</w:t>
              </w:r>
            </w:hyperlink>
          </w:p>
        </w:tc>
        <w:tc>
          <w:tcPr>
            <w:tcW w:w="4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September 30, 2021 and 2020</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Consolidated Statements of Cash Flows for the Nine Months Ended September 30, 2021 and 2020</w:t>
              </w:r>
            </w:hyperlink>
          </w:p>
        </w:tc>
        <w:tc>
          <w:tcPr>
            <w:tcW w:w="5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200" w:type="dxa"/>
            <w:vAlign w:val="bottom"/>
            <w:gridSpan w:val="4"/>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200" w:type="dxa"/>
            <w:vAlign w:val="bottom"/>
            <w:gridSpan w:val="4"/>
          </w:tcPr>
          <w:p>
            <w:pPr>
              <w:spacing w:after="0"/>
              <w:rPr>
                <w:sz w:val="17"/>
                <w:szCs w:val="17"/>
                <w:color w:val="auto"/>
              </w:rPr>
            </w:pPr>
          </w:p>
        </w:tc>
        <w:tc>
          <w:tcPr>
            <w:tcW w:w="43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128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774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60" w:type="dxa"/>
            <w:vAlign w:val="bottom"/>
            <w:gridSpan w:val="29"/>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180" w:type="dxa"/>
            <w:vAlign w:val="bottom"/>
            <w:tcBorders>
              <w:top w:val="single" w:sz="8" w:color="0000EE"/>
            </w:tcBorders>
            <w:gridSpan w:val="3"/>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572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1A.</w:t>
              </w:r>
            </w:hyperlink>
          </w:p>
        </w:tc>
        <w:tc>
          <w:tcPr>
            <w:tcW w:w="80" w:type="dxa"/>
            <w:vAlign w:val="bottom"/>
            <w:gridSpan w:val="2"/>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Unregistered Sales of Equity Securities and Use of Proceeds</w:t>
              </w:r>
            </w:hyperlink>
          </w:p>
        </w:tc>
        <w:tc>
          <w:tcPr>
            <w:tcW w:w="338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3.</w:t>
              </w:r>
            </w:hyperlink>
          </w:p>
        </w:tc>
        <w:tc>
          <w:tcPr>
            <w:tcW w:w="200" w:type="dxa"/>
            <w:vAlign w:val="bottom"/>
            <w:gridSpan w:val="4"/>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Defaults Upon Senior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4.</w:t>
              </w:r>
            </w:hyperlink>
          </w:p>
        </w:tc>
        <w:tc>
          <w:tcPr>
            <w:tcW w:w="20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7"/>
                <w:szCs w:val="17"/>
                <w:color w:val="auto"/>
              </w:rPr>
            </w:pPr>
          </w:p>
        </w:tc>
        <w:tc>
          <w:tcPr>
            <w:tcW w:w="542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5.</w:t>
              </w:r>
            </w:hyperlink>
          </w:p>
        </w:tc>
        <w:tc>
          <w:tcPr>
            <w:tcW w:w="200" w:type="dxa"/>
            <w:vAlign w:val="bottom"/>
            <w:gridSpan w:val="4"/>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Other Information</w:t>
              </w:r>
            </w:hyperlink>
          </w:p>
        </w:tc>
        <w:tc>
          <w:tcPr>
            <w:tcW w:w="642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6.</w:t>
              </w:r>
            </w:hyperlink>
          </w:p>
        </w:tc>
        <w:tc>
          <w:tcPr>
            <w:tcW w:w="7740" w:type="dxa"/>
            <w:vAlign w:val="bottom"/>
            <w:gridSpan w:val="2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gridSpan w:val="1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impact of recently adopted accounting pronouncements; our ability to attract and retain qualified employees and key personnel; the plans and objectives of management for future operations and capital expenditures, and the impact of the COVID-19 pandemic, including variants, on our business, operations, and the markets and communities in which we and our clients, members and providers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21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48" w:lineRule="exact"/>
        <w:rPr>
          <w:sz w:val="20"/>
          <w:szCs w:val="20"/>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including variants, has had and is expected to continue to have, and similar health epidemics could in the future have, an adverse impact on our business, operations, and the markets and communities in which we and our clients, members and providers operate.</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fertility market in which we participate is competitive, and if we do not continue to compete effectively, our results of operations could be harmed.</w:t>
      </w:r>
    </w:p>
    <w:p>
      <w:pPr>
        <w:spacing w:after="0" w:line="143"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83" w:lineRule="exact"/>
        <w:rPr>
          <w:rFonts w:ascii="Arial" w:cs="Arial" w:eastAsia="Arial" w:hAnsi="Arial"/>
          <w:sz w:val="16"/>
          <w:szCs w:val="16"/>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4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attract new clients, our business, financial condition and results of operations would be adversely affected.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change in the utilization of our solutions could have an adverse effect on our business, financial condition and results of operations.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sustain profitability in the future.</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with our current platform of solutions, which makes it difficult to predict our future results of operations.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health insurance market could harm our business, financial condition and results of operations.</w:t>
      </w:r>
    </w:p>
    <w:p>
      <w:pPr>
        <w:spacing w:after="0" w:line="207"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 benefits industry may be subject to negative publicity, which could adversely affect our business, financial condition and results of operations.</w:t>
      </w:r>
    </w:p>
    <w:p>
      <w:pPr>
        <w:spacing w:after="0" w:line="12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p>
    <w:p>
      <w:pPr>
        <w:spacing w:after="0" w:line="156"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maintain an efficient pharmacy distribution network or if there is a disruption to our network of specialty pharmacies, our business, financial condition and results of operations could suffer.</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highly regulated industry and must comply with a significant number of complex and evolving requirements.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“Progyny,” “the Company,” “we,” “our” and “us” refer to Progyny, Inc.</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at investors.progyny.com. We therefore encourage investors and others interested in Progyny to review the information that we make available on our website, in addition to following our filings with the SEC, webcasts, press releases and conference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PROGYNY, INC.</w:t>
      </w:r>
    </w:p>
    <w:p>
      <w:pPr>
        <w:spacing w:after="0" w:line="14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5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92,224</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Accounts receivable, net of $16,130 and $9,502 of allowance at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September 30, 2021 and December 31, 2020,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55,828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9"/>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336,682</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55,425</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104,484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lease noncurrent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112,569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 1,000,000,000 shares authorized at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September 30, 2021 and December 31, 2020; 90,008,810 and 87,054,329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and outstanding at September 30, 2021 and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242,929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Treasury stock, at cost, $0.0001 par value; 615,980 shares at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September 30, 2021 and December 31, 2020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224,113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336,682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244,557</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286,048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195,164</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31,976</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42,206</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(expense), net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6"/>
        </w:trPr>
        <w:tc>
          <w:tcPr>
            <w:tcW w:w="37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55"/>
        </w:trPr>
        <w:tc>
          <w:tcPr>
            <w:tcW w:w="37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Weighted-average shares used in computing net</w:t>
            </w: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89,571,226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86,265,297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88,594,135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85,364,608</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100,370,331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98,969,588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100,326,221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98,936,489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Unrealized gain (loss) on marketable securities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16,754</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50,376</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3"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PROGYNY, INC.</w:t>
      </w:r>
    </w:p>
    <w:p>
      <w:pPr>
        <w:spacing w:after="0" w:line="44"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 except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Paid in</w:t>
            </w:r>
          </w:p>
        </w:tc>
        <w:tc>
          <w:tcPr>
            <w:tcW w:w="1120" w:type="dxa"/>
            <w:vAlign w:val="bottom"/>
            <w:gridSpan w:val="3"/>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112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5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For the three months ended</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2021:</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Balance at June 30, 2021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89,360,084</w:t>
            </w:r>
          </w:p>
        </w:tc>
        <w:tc>
          <w:tcPr>
            <w:tcW w:w="140" w:type="dxa"/>
            <w:vAlign w:val="bottom"/>
          </w:tcPr>
          <w:p>
            <w:pPr>
              <w:spacing w:after="0"/>
              <w:rPr>
                <w:sz w:val="12"/>
                <w:szCs w:val="12"/>
                <w:color w:val="auto"/>
              </w:rPr>
            </w:pPr>
          </w:p>
        </w:tc>
        <w:tc>
          <w:tcPr>
            <w:tcW w:w="760" w:type="dxa"/>
            <w:vAlign w:val="bottom"/>
          </w:tcPr>
          <w:p>
            <w:pPr>
              <w:jc w:val="right"/>
              <w:ind w:right="60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240,111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(34,300)</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$ 204,541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withheld</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648,726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7,179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16,796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2021</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90,008,810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242,929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(17,504)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$ 224,113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For the three months ended</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2020:</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Balance at June 30, 2020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85,778,057</w:t>
            </w:r>
          </w:p>
        </w:tc>
        <w:tc>
          <w:tcPr>
            <w:tcW w:w="140" w:type="dxa"/>
            <w:vAlign w:val="bottom"/>
          </w:tcPr>
          <w:p>
            <w:pPr>
              <w:spacing w:after="0"/>
              <w:rPr>
                <w:sz w:val="12"/>
                <w:szCs w:val="12"/>
                <w:color w:val="auto"/>
              </w:rPr>
            </w:pPr>
          </w:p>
        </w:tc>
        <w:tc>
          <w:tcPr>
            <w:tcW w:w="760" w:type="dxa"/>
            <w:vAlign w:val="bottom"/>
          </w:tcPr>
          <w:p>
            <w:pPr>
              <w:jc w:val="right"/>
              <w:ind w:right="60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231,792</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(112,087)</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$ 118,710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withheld</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764,862</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3,071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comprehensive income</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Initial public offering costs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4,822</w:t>
            </w:r>
          </w:p>
        </w:tc>
        <w:tc>
          <w:tcPr>
            <w:tcW w:w="0" w:type="dxa"/>
            <w:vAlign w:val="bottom"/>
          </w:tcPr>
          <w:p>
            <w:pPr>
              <w:spacing w:after="0"/>
              <w:rPr>
                <w:sz w:val="1"/>
                <w:szCs w:val="1"/>
                <w:color w:val="auto"/>
              </w:rPr>
            </w:pPr>
          </w:p>
        </w:tc>
      </w:tr>
      <w:tr>
        <w:trPr>
          <w:trHeight w:val="182"/>
        </w:trPr>
        <w:tc>
          <w:tcPr>
            <w:tcW w:w="3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September 30, 2020</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86,542,919</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234,134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(107,265)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125,886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80" w:type="dxa"/>
            <w:vAlign w:val="bottom"/>
          </w:tcPr>
          <w:p>
            <w:pPr>
              <w:spacing w:after="0" w:line="126" w:lineRule="exact"/>
              <w:rPr>
                <w:sz w:val="20"/>
                <w:szCs w:val="20"/>
                <w:color w:val="auto"/>
              </w:rPr>
            </w:pPr>
            <w:r>
              <w:rPr>
                <w:rFonts w:ascii="Arial" w:cs="Arial" w:eastAsia="Arial" w:hAnsi="Arial"/>
                <w:sz w:val="14"/>
                <w:szCs w:val="14"/>
                <w:b w:val="1"/>
                <w:bCs w:val="1"/>
                <w:color w:val="auto"/>
              </w:rPr>
              <w:t>For the nine months ended</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87,054,329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236,139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(68,193)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$ 166,947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tcPr>
          <w:p>
            <w:pPr>
              <w:ind w:left="100"/>
              <w:spacing w:after="0" w:line="130" w:lineRule="exact"/>
              <w:rPr>
                <w:sz w:val="20"/>
                <w:szCs w:val="20"/>
                <w:color w:val="auto"/>
              </w:rPr>
            </w:pPr>
            <w:r>
              <w:rPr>
                <w:rFonts w:ascii="Arial" w:cs="Arial" w:eastAsia="Arial" w:hAnsi="Arial"/>
                <w:sz w:val="14"/>
                <w:szCs w:val="14"/>
                <w:color w:val="auto"/>
              </w:rPr>
              <w:t>Issuance of employee equity awards, net of</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ind w:left="100"/>
              <w:spacing w:after="0"/>
              <w:rPr>
                <w:sz w:val="20"/>
                <w:szCs w:val="20"/>
                <w:color w:val="auto"/>
              </w:rPr>
            </w:pPr>
            <w:r>
              <w:rPr>
                <w:rFonts w:ascii="Arial" w:cs="Arial" w:eastAsia="Arial" w:hAnsi="Arial"/>
                <w:sz w:val="14"/>
                <w:szCs w:val="14"/>
                <w:color w:val="auto"/>
              </w:rPr>
              <w:t>shares withheld</w:t>
            </w:r>
          </w:p>
        </w:tc>
        <w:tc>
          <w:tcPr>
            <w:tcW w:w="900" w:type="dxa"/>
            <w:vAlign w:val="bottom"/>
          </w:tcPr>
          <w:p>
            <w:pPr>
              <w:jc w:val="right"/>
              <w:spacing w:after="0"/>
              <w:rPr>
                <w:sz w:val="20"/>
                <w:szCs w:val="20"/>
                <w:color w:val="auto"/>
              </w:rPr>
            </w:pPr>
            <w:r>
              <w:rPr>
                <w:rFonts w:ascii="Arial" w:cs="Arial" w:eastAsia="Arial" w:hAnsi="Arial"/>
                <w:sz w:val="14"/>
                <w:szCs w:val="14"/>
                <w:color w:val="auto"/>
              </w:rPr>
              <w:t>2,129,490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(11,952)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(11,952)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Warrant exercise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824,991</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50,689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50,689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2021</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90,008,810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242,929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(17,504)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$ 224,113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For the nine months ended</w:t>
            </w: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2020:</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Balance at December 31, 2019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84,188,202</w:t>
            </w:r>
          </w:p>
        </w:tc>
        <w:tc>
          <w:tcPr>
            <w:tcW w:w="140" w:type="dxa"/>
            <w:vAlign w:val="bottom"/>
          </w:tcPr>
          <w:p>
            <w:pPr>
              <w:spacing w:after="0"/>
              <w:rPr>
                <w:sz w:val="12"/>
                <w:szCs w:val="12"/>
                <w:color w:val="auto"/>
              </w:rPr>
            </w:pPr>
          </w:p>
        </w:tc>
        <w:tc>
          <w:tcPr>
            <w:tcW w:w="760" w:type="dxa"/>
            <w:vAlign w:val="bottom"/>
          </w:tcPr>
          <w:p>
            <w:pPr>
              <w:jc w:val="right"/>
              <w:ind w:right="60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228,755</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(113,483)</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$ 114,271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withheld</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2,354,717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8,661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Reduction in initial public offering costs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Other comprehensive income</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Impact of adoption of ASU 2016-13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7,387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2020</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86,542,919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234,134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(107,265)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 xml:space="preserve"> 125,886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357505</wp:posOffset>
            </wp:positionV>
            <wp:extent cx="64808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PROGYNY, INC.</w:t>
      </w:r>
    </w:p>
    <w:p>
      <w:pPr>
        <w:spacing w:after="0" w:line="30"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Consolidated Statements of Cash Flows</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149" w:lineRule="exact"/>
        <w:rPr>
          <w:sz w:val="20"/>
          <w:szCs w:val="20"/>
          <w:color w:val="auto"/>
        </w:rPr>
      </w:pPr>
    </w:p>
    <w:p>
      <w:pPr>
        <w:ind w:left="6740"/>
        <w:spacing w:after="0"/>
        <w:rPr>
          <w:sz w:val="20"/>
          <w:szCs w:val="20"/>
          <w:color w:val="auto"/>
        </w:rPr>
      </w:pPr>
      <w:r>
        <w:rPr>
          <w:rFonts w:ascii="Arial" w:cs="Arial" w:eastAsia="Arial" w:hAnsi="Arial"/>
          <w:sz w:val="15"/>
          <w:szCs w:val="15"/>
          <w:b w:val="1"/>
          <w:bCs w:val="1"/>
          <w:color w:val="auto"/>
        </w:rPr>
        <w:t>Nine Months Ended</w:t>
      </w:r>
    </w:p>
    <w:p>
      <w:pPr>
        <w:ind w:left="6900"/>
        <w:spacing w:after="0" w:line="234" w:lineRule="auto"/>
        <w:rPr>
          <w:sz w:val="20"/>
          <w:szCs w:val="20"/>
          <w:color w:val="auto"/>
        </w:rPr>
      </w:pPr>
      <w:r>
        <w:rPr>
          <w:rFonts w:ascii="Arial" w:cs="Arial" w:eastAsia="Arial" w:hAnsi="Arial"/>
          <w:sz w:val="15"/>
          <w:szCs w:val="15"/>
          <w:b w:val="1"/>
          <w:bCs w:val="1"/>
          <w:color w:val="auto"/>
        </w:rPr>
        <w:t>September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24"/>
              <w:spacing w:after="0" w:line="156" w:lineRule="exact"/>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OPERATING ACTIVITIES</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980" w:type="dxa"/>
            <w:vAlign w:val="bottom"/>
            <w:gridSpan w:val="2"/>
          </w:tcPr>
          <w:p>
            <w:pPr>
              <w:jc w:val="right"/>
              <w:ind w:right="724"/>
              <w:spacing w:after="0" w:line="162"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50,689</w:t>
            </w:r>
          </w:p>
        </w:tc>
        <w:tc>
          <w:tcPr>
            <w:tcW w:w="520" w:type="dxa"/>
            <w:vAlign w:val="bottom"/>
            <w:gridSpan w:val="2"/>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7,387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Deferred tax (benefit) expense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6"/>
              </w:rPr>
              <w:t>(17,856)</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Non-cash interest expense</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985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18,698</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8,661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Bad debt expense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7,221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3,922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200"/>
              <w:spacing w:after="0" w:line="162" w:lineRule="exact"/>
              <w:rPr>
                <w:sz w:val="20"/>
                <w:szCs w:val="20"/>
                <w:color w:val="auto"/>
              </w:rPr>
            </w:pPr>
            <w:r>
              <w:rPr>
                <w:rFonts w:ascii="Arial" w:cs="Arial" w:eastAsia="Arial" w:hAnsi="Arial"/>
                <w:sz w:val="15"/>
                <w:szCs w:val="15"/>
                <w:color w:val="auto"/>
              </w:rPr>
              <w:t>Accounts receivable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6"/>
              </w:rPr>
              <w:t>(66,738)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(34,952)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200"/>
              <w:spacing w:after="0" w:line="162" w:lineRule="exact"/>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11,674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23,719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13,089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5"/>
                <w:szCs w:val="15"/>
                <w:color w:val="auto"/>
              </w:rPr>
              <w:t>Other noncurrent assets and liabilities</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(992)</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17,222</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29,666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INVESTING ACTIVITIES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Purchase of property and equipment, net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(1,517)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(940)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marketable securities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6"/>
              </w:rPr>
              <w:t>(90,481)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(64,978)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Sale of marketable securities</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2"/>
              </w:rPr>
              <w:t>107,076</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provided by (used in) investing activities</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15,078</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(51,918)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FINANCING ACTIVITIES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Payment of initial public offering costs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(892)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exercise of stock options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1,753</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Payment of employee taxes related to equity awards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6"/>
              </w:rPr>
              <w:t>(13,106)</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(6,419)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contributions to employee stock purchase plan</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972</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1,068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(used in) financing activities</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6"/>
              </w:rPr>
              <w:t>(10,381)</w:t>
            </w: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(4,165)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21,919</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(26,417)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70,305</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80,382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 end of period</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24"/>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92,224</w:t>
            </w: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4"/>
              <w:spacing w:after="0" w:line="156"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53,965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SUPPLEMENTAL DISCLOSURE OF NON-CASH INVESTING AND FINANCING</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ACTIVITIES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5"/>
                <w:szCs w:val="15"/>
                <w:color w:val="auto"/>
              </w:rPr>
              <w:t>Additions of property and equipment, net included in accounts payable and accrued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660" w:type="dxa"/>
            <w:vAlign w:val="bottom"/>
            <w:gridSpan w:val="2"/>
          </w:tcPr>
          <w:p>
            <w:pPr>
              <w:spacing w:after="0"/>
              <w:rPr>
                <w:sz w:val="20"/>
                <w:szCs w:val="20"/>
                <w:color w:val="auto"/>
              </w:rPr>
            </w:pPr>
            <w:r>
              <w:rPr>
                <w:rFonts w:ascii="Arial" w:cs="Arial" w:eastAsia="Arial" w:hAnsi="Arial"/>
                <w:sz w:val="15"/>
                <w:szCs w:val="15"/>
                <w:color w:val="auto"/>
              </w:rPr>
              <w:t>expenses</w:t>
            </w:r>
          </w:p>
        </w:tc>
        <w:tc>
          <w:tcPr>
            <w:tcW w:w="980" w:type="dxa"/>
            <w:vAlign w:val="bottom"/>
            <w:gridSpan w:val="2"/>
          </w:tcPr>
          <w:p>
            <w:pPr>
              <w:jc w:val="right"/>
              <w:ind w:right="724"/>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262</w:t>
            </w:r>
          </w:p>
        </w:tc>
        <w:tc>
          <w:tcPr>
            <w:tcW w:w="52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680" w:hanging="630"/>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Basis of Presentation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700" w:right="79" w:firstLine="648"/>
        <w:spacing w:after="0" w:line="342" w:lineRule="auto"/>
        <w:rPr>
          <w:sz w:val="20"/>
          <w:szCs w:val="20"/>
          <w:color w:val="auto"/>
        </w:rPr>
      </w:pPr>
      <w:r>
        <w:rPr>
          <w:rFonts w:ascii="Arial" w:cs="Arial" w:eastAsia="Arial" w:hAnsi="Arial"/>
          <w:sz w:val="16"/>
          <w:szCs w:val="16"/>
          <w:color w:val="auto"/>
        </w:rPr>
        <w:t>Progyny, Inc. (together with its subsidiary referred to as “Progyny” or the “Company”) was incorporated in the state of Delaware on April 3, 2008, and maintains its corporate headquarters in New York, NY.</w:t>
      </w:r>
    </w:p>
    <w:p>
      <w:pPr>
        <w:spacing w:after="0" w:line="124" w:lineRule="exact"/>
        <w:rPr>
          <w:sz w:val="20"/>
          <w:szCs w:val="20"/>
          <w:color w:val="auto"/>
        </w:rPr>
      </w:pPr>
    </w:p>
    <w:p>
      <w:pPr>
        <w:jc w:val="both"/>
        <w:ind w:left="700" w:right="79" w:firstLine="648"/>
        <w:spacing w:after="0" w:line="291" w:lineRule="auto"/>
        <w:rPr>
          <w:sz w:val="20"/>
          <w:szCs w:val="20"/>
          <w:color w:val="auto"/>
        </w:rPr>
      </w:pPr>
      <w:r>
        <w:rPr>
          <w:rFonts w:ascii="Arial" w:cs="Arial" w:eastAsia="Arial" w:hAnsi="Arial"/>
          <w:sz w:val="16"/>
          <w:szCs w:val="16"/>
          <w:color w:val="auto"/>
        </w:rPr>
        <w:t>Progyny is a provider of a fertility benefits solution and pharmacy benefits solution and operates and manages in one operating segment. The fertility benefits solution consists of a significant service that integrates:</w:t>
      </w:r>
    </w:p>
    <w:p>
      <w:pPr>
        <w:jc w:val="both"/>
        <w:ind w:left="700" w:right="59" w:hanging="2"/>
        <w:spacing w:after="0" w:line="290" w:lineRule="auto"/>
        <w:tabs>
          <w:tab w:leader="none" w:pos="96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64" w:lineRule="exact"/>
        <w:rPr>
          <w:sz w:val="20"/>
          <w:szCs w:val="20"/>
          <w:color w:val="auto"/>
        </w:rPr>
      </w:pPr>
    </w:p>
    <w:p>
      <w:pPr>
        <w:jc w:val="both"/>
        <w:ind w:left="700" w:right="59" w:firstLine="648"/>
        <w:spacing w:after="0" w:line="272" w:lineRule="auto"/>
        <w:rPr>
          <w:sz w:val="20"/>
          <w:szCs w:val="20"/>
          <w:color w:val="auto"/>
        </w:rPr>
      </w:pPr>
      <w:r>
        <w:rPr>
          <w:rFonts w:ascii="Arial" w:cs="Arial" w:eastAsia="Arial" w:hAnsi="Arial"/>
          <w:sz w:val="17"/>
          <w:szCs w:val="17"/>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Prior to December 31, 2020, the Company was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7"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The Company elected to use this extended transition period for complying with new or revised accounting standards that have different effective dates for public and private companies until the earlier of the date that it was (i) no longer an emerging growth company or (ii) affirmatively and irrevocably opted out of the extended transition period provided in the JOBS Act. Based on the market value of the Company’s common stock as of June 30, 2020, the Company ceased to qualify as an emerging growth company as of December 31, 2020. As a result, the Company no longer was able to use the extended transition period for complying with new or revised accounting standards available to emerging growth companies and was required to adopt new or revised accounting standards as of the effective dates for public companies. Refer to Note 2 – Significant Accounting Policies below for a discussion of new accounting pronouncements adopted in the fourth quarter of 2020 with an effective date of January 1, 2020.</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700" w:right="59" w:firstLine="648"/>
        <w:spacing w:after="0" w:line="293" w:lineRule="auto"/>
        <w:rPr>
          <w:sz w:val="20"/>
          <w:szCs w:val="20"/>
          <w:color w:val="auto"/>
        </w:rPr>
      </w:pPr>
      <w:r>
        <w:rPr>
          <w:rFonts w:ascii="Arial" w:cs="Arial" w:eastAsia="Arial" w:hAnsi="Arial"/>
          <w:sz w:val="16"/>
          <w:szCs w:val="16"/>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all adjustments necessary to fairly state our financial position as of September 30, 2021, the results of our operations for the three and nine months ended September 30, 2021 and 2020 and the results of our cash flows for the nine months ended September 30, 2021 and 2020. Therefore, these unaudited consolidated financial statements should be read in conjunction with the audited consolidated financial statements and related footnotes included in the Company’s Annual Report on Form 10-K for the year ended December 31, 2020, filed with the SEC on March 1, 2021.</w:t>
      </w:r>
    </w:p>
    <w:p>
      <w:pPr>
        <w:spacing w:after="0" w:line="192" w:lineRule="exact"/>
        <w:rPr>
          <w:sz w:val="20"/>
          <w:szCs w:val="20"/>
          <w:color w:val="auto"/>
        </w:rPr>
      </w:pPr>
    </w:p>
    <w:p>
      <w:pPr>
        <w:jc w:val="both"/>
        <w:ind w:left="700" w:right="59" w:firstLine="648"/>
        <w:spacing w:after="0" w:line="268" w:lineRule="auto"/>
        <w:rPr>
          <w:sz w:val="20"/>
          <w:szCs w:val="20"/>
          <w:color w:val="auto"/>
        </w:rPr>
      </w:pPr>
      <w:r>
        <w:rPr>
          <w:rFonts w:ascii="Arial" w:cs="Arial" w:eastAsia="Arial" w:hAnsi="Arial"/>
          <w:sz w:val="17"/>
          <w:szCs w:val="17"/>
          <w:color w:val="auto"/>
        </w:rPr>
        <w:t>The results for the three and nine months ended September 30, 2021 are not necessarily indicative of the operating results expected for the year ending December 31, 2021 or any other future period. Additionally, there are many uncertainties regarding the ongoing coronavirus (“COVID-19”) pandemic, including variants, and the Company is closely monitoring the impact of the pandemic on all aspects of its business, including how it has already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efforts and impact, including vaccine hesitancy, break-through cases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700" w:right="59" w:firstLine="648"/>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revenue recognition including accrued receivables, accrued claims payable, allowance for doubtful accounts, stock-based compensation,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left="680" w:hanging="630"/>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700" w:right="279" w:firstLine="648"/>
        <w:spacing w:after="0" w:line="263" w:lineRule="auto"/>
        <w:rPr>
          <w:sz w:val="20"/>
          <w:szCs w:val="20"/>
          <w:color w:val="auto"/>
        </w:rPr>
      </w:pPr>
      <w:r>
        <w:rPr>
          <w:rFonts w:ascii="Arial" w:cs="Arial" w:eastAsia="Arial" w:hAnsi="Arial"/>
          <w:sz w:val="18"/>
          <w:szCs w:val="18"/>
          <w:color w:val="auto"/>
        </w:rPr>
        <w:t>There have been no material changes in the Company’s significant accounting policies as compared to the significant accounting policies described in the Company’s Annual Report on Form 10-K for the year ended December 31, 2020.</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Company applies the following five-step model to recognize revenue from contracts with clients:</w:t>
      </w:r>
    </w:p>
    <w:p>
      <w:pPr>
        <w:spacing w:after="0" w:line="237" w:lineRule="exact"/>
        <w:rPr>
          <w:sz w:val="20"/>
          <w:szCs w:val="20"/>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jc w:val="both"/>
        <w:ind w:left="700" w:right="59" w:firstLine="324"/>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82" w:lineRule="exact"/>
        <w:rPr>
          <w:sz w:val="20"/>
          <w:szCs w:val="20"/>
          <w:color w:val="auto"/>
        </w:rPr>
      </w:pPr>
    </w:p>
    <w:p>
      <w:pPr>
        <w:jc w:val="both"/>
        <w:ind w:left="700" w:right="59" w:firstLine="648"/>
        <w:spacing w:after="0" w:line="275" w:lineRule="auto"/>
        <w:rPr>
          <w:sz w:val="20"/>
          <w:szCs w:val="20"/>
          <w:color w:val="auto"/>
        </w:rPr>
      </w:pPr>
      <w:r>
        <w:rPr>
          <w:rFonts w:ascii="Arial" w:cs="Arial" w:eastAsia="Arial" w:hAnsi="Arial"/>
          <w:sz w:val="17"/>
          <w:szCs w:val="17"/>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76" w:lineRule="exact"/>
        <w:rPr>
          <w:sz w:val="20"/>
          <w:szCs w:val="20"/>
          <w:color w:val="auto"/>
        </w:rPr>
      </w:pPr>
    </w:p>
    <w:p>
      <w:pPr>
        <w:jc w:val="both"/>
        <w:ind w:left="700" w:right="59" w:firstLine="648"/>
        <w:spacing w:after="0" w:line="289" w:lineRule="auto"/>
        <w:rPr>
          <w:sz w:val="20"/>
          <w:szCs w:val="20"/>
          <w:color w:val="auto"/>
        </w:rPr>
      </w:pPr>
      <w:r>
        <w:rPr>
          <w:rFonts w:ascii="Arial" w:cs="Arial" w:eastAsia="Arial" w:hAnsi="Arial"/>
          <w:sz w:val="16"/>
          <w:szCs w:val="16"/>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pacing w:after="0" w:line="166" w:lineRule="exact"/>
        <w:rPr>
          <w:sz w:val="20"/>
          <w:szCs w:val="20"/>
          <w:color w:val="auto"/>
        </w:rPr>
      </w:pPr>
    </w:p>
    <w:p>
      <w:pPr>
        <w:jc w:val="both"/>
        <w:ind w:left="700" w:right="59" w:firstLine="648"/>
        <w:spacing w:after="0" w:line="293" w:lineRule="auto"/>
        <w:rPr>
          <w:sz w:val="20"/>
          <w:szCs w:val="20"/>
          <w:color w:val="auto"/>
        </w:rPr>
      </w:pPr>
      <w:r>
        <w:rPr>
          <w:rFonts w:ascii="Arial" w:cs="Arial" w:eastAsia="Arial" w:hAnsi="Arial"/>
          <w:sz w:val="16"/>
          <w:szCs w:val="16"/>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64"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jc w:val="both"/>
        <w:ind w:left="700" w:right="59" w:firstLine="648"/>
        <w:spacing w:after="0" w:line="296" w:lineRule="auto"/>
        <w:rPr>
          <w:sz w:val="20"/>
          <w:szCs w:val="20"/>
          <w:color w:val="auto"/>
        </w:rPr>
      </w:pPr>
      <w:r>
        <w:rPr>
          <w:rFonts w:ascii="Arial" w:cs="Arial" w:eastAsia="Arial" w:hAnsi="Arial"/>
          <w:sz w:val="16"/>
          <w:szCs w:val="16"/>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75" w:lineRule="auto"/>
        <w:rPr>
          <w:sz w:val="20"/>
          <w:szCs w:val="20"/>
          <w:color w:val="auto"/>
        </w:rPr>
      </w:pPr>
      <w:r>
        <w:rPr>
          <w:rFonts w:ascii="Arial" w:cs="Arial" w:eastAsia="Arial" w:hAnsi="Arial"/>
          <w:sz w:val="17"/>
          <w:szCs w:val="17"/>
          <w:color w:val="auto"/>
        </w:rPr>
        <w:t>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95" w:lineRule="exact"/>
        <w:rPr>
          <w:sz w:val="20"/>
          <w:szCs w:val="20"/>
          <w:color w:val="auto"/>
        </w:rPr>
      </w:pPr>
    </w:p>
    <w:p>
      <w:pPr>
        <w:jc w:val="both"/>
        <w:ind w:left="700" w:right="59" w:firstLine="648"/>
        <w:spacing w:after="0" w:line="279" w:lineRule="auto"/>
        <w:rPr>
          <w:sz w:val="20"/>
          <w:szCs w:val="20"/>
          <w:color w:val="auto"/>
        </w:rPr>
      </w:pPr>
      <w:r>
        <w:rPr>
          <w:rFonts w:ascii="Arial" w:cs="Arial" w:eastAsia="Arial" w:hAnsi="Arial"/>
          <w:sz w:val="17"/>
          <w:szCs w:val="17"/>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1"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5"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87"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82"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There are no material contract asset or contract liability balances as of September 30, 2021 and December 31, 2020.</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Accrued Receivables and Accrued Claims Payable</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Accrued receivables are estimated based on historical experience for those fertility benefit services provided but for which a claim has not been received from the provider clinic at the end of each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95"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As of September 30, 2021 and December 31, 2020, accrued receivables were $34.2 million and $28.2 million. Accrued receivables are included within accounts receivable in the balance sheet.</w:t>
      </w:r>
    </w:p>
    <w:p>
      <w:pPr>
        <w:spacing w:after="0" w:line="170"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Accrued claims payable of $26.3 million and $22.8 million as of September 30, 2021 and December 31, 2020, respectively, are included within accrued expenses and other current liabilities in the balance sheet. Claims payable are paid within 30 days based on contractual terms.</w:t>
      </w:r>
    </w:p>
    <w:p>
      <w:pPr>
        <w:spacing w:after="0" w:line="184" w:lineRule="exact"/>
        <w:rPr>
          <w:sz w:val="20"/>
          <w:szCs w:val="20"/>
          <w:color w:val="auto"/>
        </w:rPr>
      </w:pPr>
    </w:p>
    <w:p>
      <w:pPr>
        <w:jc w:val="both"/>
        <w:ind w:left="700" w:right="59" w:firstLine="648"/>
        <w:spacing w:after="0" w:line="257" w:lineRule="auto"/>
        <w:rPr>
          <w:sz w:val="20"/>
          <w:szCs w:val="20"/>
          <w:color w:val="auto"/>
        </w:rPr>
      </w:pPr>
      <w:r>
        <w:rPr>
          <w:rFonts w:ascii="Arial" w:cs="Arial" w:eastAsia="Arial" w:hAnsi="Arial"/>
          <w:sz w:val="18"/>
          <w:szCs w:val="18"/>
          <w:color w:val="auto"/>
        </w:rPr>
        <w:t>As of September 30, 2021 and December 31, 2020, unbilled receivables, which represent claims received and approved but unbilled at the end of the reporting period, were $24.8 million and $16.4 million, respectively. Unbilled receivables are typically billed to clients within 30 days of the approved claim based on the contractual billing schedule agreed upon with the client. Unbilled receivables are included in accounts receivable in the balance sheet.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statements of operations. The following table provides a summary of the activity in this allowance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 Costs</w:t>
            </w:r>
          </w:p>
        </w:tc>
        <w:tc>
          <w:tcPr>
            <w:tcW w:w="18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12"/>
                <w:szCs w:val="12"/>
                <w:color w:val="auto"/>
              </w:rPr>
            </w:pPr>
          </w:p>
        </w:tc>
        <w:tc>
          <w:tcPr>
            <w:tcW w:w="9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and Expenses</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700" w:right="59" w:firstLine="648"/>
        <w:spacing w:after="0" w:line="301" w:lineRule="auto"/>
        <w:rPr>
          <w:sz w:val="20"/>
          <w:szCs w:val="20"/>
          <w:color w:val="auto"/>
        </w:rPr>
      </w:pPr>
      <w:r>
        <w:rPr>
          <w:rFonts w:ascii="Arial" w:cs="Arial" w:eastAsia="Arial" w:hAnsi="Arial"/>
          <w:sz w:val="16"/>
          <w:szCs w:val="16"/>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and Claims Processing teams; and (3) related information technology support costs. Our contracts with provider clinics are typically for a term of one to two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700" w:right="59" w:firstLine="648"/>
        <w:spacing w:after="0" w:line="273" w:lineRule="auto"/>
        <w:rPr>
          <w:sz w:val="20"/>
          <w:szCs w:val="20"/>
          <w:color w:val="auto"/>
        </w:rPr>
      </w:pPr>
      <w:r>
        <w:rPr>
          <w:rFonts w:ascii="Arial" w:cs="Arial" w:eastAsia="Arial" w:hAnsi="Arial"/>
          <w:sz w:val="17"/>
          <w:szCs w:val="17"/>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 Processing teams; and (3) related information technology support costs. Contracts with the specialty pharmacies are typically for a term of one year.</w:t>
      </w:r>
    </w:p>
    <w:p>
      <w:pPr>
        <w:spacing w:after="0" w:line="178"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pharmacy program partners (such as through a specialty pharmacy). These rebates are recognized as a reduction of cost of services when prescriptions are dispensed and are generally estimated and billed to manufacturers within 20 days of the end of each month. The effect of adjustments resulting from the reconciliation of rebates recognized to the amounts billed and collected has not been material to the Company’s results of operations.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700" w:right="59" w:firstLine="648"/>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standard is intended to simplify the accounting for income taxes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Topic 740, as well as improve consistent application of and simplify GAAP for other areas of Topic 740 by clarifying and amending existing guidance. The Company adopted this standard as of January 1, 2021. The adoption of this standard did not have a material impact on the Company’s consolidated financial statements.</w:t>
      </w:r>
    </w:p>
    <w:p>
      <w:pPr>
        <w:spacing w:after="0" w:line="192" w:lineRule="exact"/>
        <w:rPr>
          <w:sz w:val="20"/>
          <w:szCs w:val="20"/>
          <w:color w:val="auto"/>
        </w:rPr>
      </w:pPr>
    </w:p>
    <w:p>
      <w:pPr>
        <w:jc w:val="both"/>
        <w:ind w:left="700" w:right="59" w:firstLine="648"/>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Company adopted this standard on January 1, 2020, using the modified retrospective transition method, which applies the provisions of the standard at the effective date without adjusting the comparative periods presented. In addition, the Company elected the package of practical expedients permitted under the transition guidance within the new standard, which allowed the Company not to reassess (i) whether any expired or existing contracts contained leases, (ii) the lease classification for any expired or existing leases, and (iii) initial direct costs for existing leases. The Company also elected to not reassess lease terms for existing leases using hindsight and to account for each separate lease and non-lease component as a single lease component. As a result of the adoption of the new leasing guidance, the Company recorded right-of-use assets and lease liabilities of $9.5 million and $9.9 million, respectively. The right-of-use assets are classified within operating lease right-of-use assets on the Company’s consolidated balance sheet. Lease liabilities are classified within accrued expenses and other current liabilities and operating lease noncurrent liabilities on the Company’s consolidated balance sheet. The adoption of the standard did not materially impact the Company’s statement of operations or statement of cash flows for the year ended December 31, 2020. See Note 5 – Leases for further details.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which replaces the incurred loss impairment methodology in current U.S. GAAP with a methodology that reflects expected credit losses and requires consideration of a broader range of reasonable and supportable information to inform credit loss estimates. The adoption of the new standard impacted the Company’s methodology for calculating and estimating the allowance for doubtful accounts. In the fourth quarter of 2020, the Company adopted this standard as of January 1, 2020 using the modified retrospective transition method, which resulted in a cumulative-effect adjustment to accumulated deficit of $1.2 million. As disclosed in Note 17 – Unaudited Quarterly Results of Operations Data in the Company’s Annual Report on Form 10-K, quarterly financial information for interim periods of 2020 has been recast, which includes a $0.5 million and $0.2 million impact to the previously disclosed general and administrative expense for the three and nine month periods ended September 30, 2020, respectively.</w:t>
      </w:r>
    </w:p>
    <w:p>
      <w:pPr>
        <w:spacing w:after="0" w:line="182" w:lineRule="exact"/>
        <w:rPr>
          <w:sz w:val="20"/>
          <w:szCs w:val="20"/>
          <w:color w:val="auto"/>
        </w:rPr>
      </w:pPr>
    </w:p>
    <w:p>
      <w:pPr>
        <w:jc w:val="both"/>
        <w:ind w:left="700" w:right="59" w:firstLine="648"/>
        <w:spacing w:after="0" w:line="296" w:lineRule="auto"/>
        <w:rPr>
          <w:sz w:val="20"/>
          <w:szCs w:val="20"/>
          <w:color w:val="auto"/>
        </w:rPr>
      </w:pPr>
      <w:r>
        <w:rPr>
          <w:rFonts w:ascii="Arial" w:cs="Arial" w:eastAsia="Arial" w:hAnsi="Arial"/>
          <w:sz w:val="16"/>
          <w:szCs w:val="16"/>
          <w:color w:val="auto"/>
        </w:rPr>
        <w:t xml:space="preserve">In August 2018, the FASB issued final guidance requiring a customer in a cloud computing arrangement that is a service contract to follow the internal use software guidance in Accounting Standards Codification (“ASC”) 350-402 </w:t>
      </w:r>
      <w:r>
        <w:rPr>
          <w:rFonts w:ascii="Arial" w:cs="Arial" w:eastAsia="Arial" w:hAnsi="Arial"/>
          <w:sz w:val="16"/>
          <w:szCs w:val="16"/>
          <w:i w:val="1"/>
          <w:iCs w:val="1"/>
          <w:color w:val="auto"/>
        </w:rPr>
        <w:t>Intangibles—Goodwill and Other—Internal Use Software</w:t>
      </w:r>
      <w:r>
        <w:rPr>
          <w:rFonts w:ascii="Arial" w:cs="Arial" w:eastAsia="Arial" w:hAnsi="Arial"/>
          <w:sz w:val="16"/>
          <w:szCs w:val="16"/>
          <w:color w:val="auto"/>
        </w:rPr>
        <w:t xml:space="preserve"> (Subtopic 350-40) to determine which implementation costs to capitalize as assets. The Company adopted this standard on January 1, 2020. The adoption of the new standard did not have a material effect on the Company’s consolidated financial statements.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ind w:left="700" w:right="59" w:firstLine="648"/>
        <w:spacing w:after="0" w:line="270" w:lineRule="auto"/>
        <w:rPr>
          <w:sz w:val="20"/>
          <w:szCs w:val="20"/>
          <w:color w:val="auto"/>
        </w:rPr>
      </w:pPr>
      <w:r>
        <w:rPr>
          <w:rFonts w:ascii="Arial" w:cs="Arial" w:eastAsia="Arial" w:hAnsi="Arial"/>
          <w:sz w:val="17"/>
          <w:szCs w:val="17"/>
          <w:color w:val="auto"/>
        </w:rPr>
        <w:t>In May 2021, the FASB issued ASU No. 2021-04 (“ASU 2021-04”) “</w:t>
      </w:r>
      <w:r>
        <w:rPr>
          <w:rFonts w:ascii="Arial" w:cs="Arial" w:eastAsia="Arial" w:hAnsi="Arial"/>
          <w:sz w:val="17"/>
          <w:szCs w:val="17"/>
          <w:i w:val="1"/>
          <w:iCs w:val="1"/>
          <w:color w:val="auto"/>
        </w:rPr>
        <w:t>Earnings Per Share (Topic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Debt-Modifications and Extinguishments (Subtopic 470-50), Compensation- Stock Compensation (Topic 718), and Derivatives and Hedging-Contracts in Entity’s Own Equity (Subtopic 815- 40)</w:t>
      </w:r>
      <w:r>
        <w:rPr>
          <w:rFonts w:ascii="Arial" w:cs="Arial" w:eastAsia="Arial" w:hAnsi="Arial"/>
          <w:sz w:val="17"/>
          <w:szCs w:val="17"/>
          <w:color w:val="auto"/>
        </w:rPr>
        <w:t>” which provides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modifications or exchanges of a freestanding equity-classified written call options that are not within the scope of another Topic, such as warrants. The new standard will be effective for the Company for the fiscal year beginning January 1, 2022 and should be applied prospectively to modifications or exchanges occurring on or after this date. The Company currently does not expect the adoption of the new standard to have a material effect on its consolidated financial statements, however, this impact will depend on the terms of written call options, such as warrants, or financings issued or modified in the future.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0" w:right="6619" w:hanging="650"/>
        <w:spacing w:after="0" w:line="603" w:lineRule="auto"/>
        <w:tabs>
          <w:tab w:leader="none" w:pos="682"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 </w:t>
      </w:r>
      <w:r>
        <w:rPr>
          <w:rFonts w:ascii="Arial" w:cs="Arial" w:eastAsia="Arial" w:hAnsi="Arial"/>
          <w:sz w:val="15"/>
          <w:szCs w:val="15"/>
          <w:b w:val="1"/>
          <w:bCs w:val="1"/>
          <w:i w:val="1"/>
          <w:iCs w:val="1"/>
          <w:color w:val="auto"/>
        </w:rPr>
        <w:t>Disaggregated revenue</w:t>
      </w:r>
    </w:p>
    <w:p>
      <w:pPr>
        <w:spacing w:after="0" w:line="1" w:lineRule="exact"/>
        <w:rPr>
          <w:rFonts w:ascii="Arial" w:cs="Arial" w:eastAsia="Arial" w:hAnsi="Arial"/>
          <w:sz w:val="15"/>
          <w:szCs w:val="15"/>
          <w:b w:val="1"/>
          <w:bCs w:val="1"/>
          <w:color w:val="auto"/>
        </w:rPr>
      </w:pPr>
    </w:p>
    <w:p>
      <w:pPr>
        <w:ind w:left="134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disaggregates revenue by service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center"/>
              <w:ind w:right="135"/>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Fertility benefit services revenue</w:t>
            </w:r>
          </w:p>
        </w:tc>
        <w:tc>
          <w:tcPr>
            <w:tcW w:w="11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85,313</w:t>
            </w:r>
          </w:p>
        </w:tc>
        <w:tc>
          <w:tcPr>
            <w:tcW w:w="5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73,141</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266,433</w:t>
            </w:r>
          </w:p>
        </w:tc>
        <w:tc>
          <w:tcPr>
            <w:tcW w:w="5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Pharmacy benefit services revenue</w:t>
            </w: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106,635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373,068</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244,557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hanging="630"/>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Level 1 — Unadjusted quoted prices in active markets that are accessible at the measurement date for identical assets or liabilities.</w:t>
      </w:r>
    </w:p>
    <w:p>
      <w:pPr>
        <w:spacing w:after="0" w:line="170"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170"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Level 3 — Prices or valuation techniques that require inputs that are both significant to the fair value of the asset or liability and supported by little or no market activity.</w:t>
      </w:r>
    </w:p>
    <w:p>
      <w:pPr>
        <w:spacing w:after="0" w:line="170"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The Company uses observable market data when available, and minimizes the use of unobservable inputs when determining fair value.</w:t>
      </w:r>
    </w:p>
    <w:p>
      <w:pPr>
        <w:spacing w:after="0" w:line="170" w:lineRule="exact"/>
        <w:rPr>
          <w:sz w:val="20"/>
          <w:szCs w:val="20"/>
          <w:color w:val="auto"/>
        </w:rPr>
      </w:pPr>
    </w:p>
    <w:p>
      <w:pPr>
        <w:jc w:val="both"/>
        <w:ind w:left="700" w:right="59" w:firstLine="648"/>
        <w:spacing w:after="0" w:line="255" w:lineRule="auto"/>
        <w:rPr>
          <w:sz w:val="20"/>
          <w:szCs w:val="20"/>
          <w:color w:val="auto"/>
        </w:rPr>
      </w:pPr>
      <w:r>
        <w:rPr>
          <w:rFonts w:ascii="Arial" w:cs="Arial" w:eastAsia="Arial" w:hAnsi="Arial"/>
          <w:sz w:val="18"/>
          <w:szCs w:val="18"/>
          <w:color w:val="auto"/>
        </w:rPr>
        <w:t>As of September 30, 2021 and December 31, 2020, the Company had $69.5 million and $66.3 million, respectively, in financial assets held in money market accounts and $22.1 million and $39.0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92"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As of September 30, 2021 and December 31, 2020, the Company did not have any assets or liabilities classified as Level 2 or Level 3 in the fair value hierarchy.</w:t>
      </w:r>
    </w:p>
    <w:p>
      <w:pPr>
        <w:spacing w:after="0" w:line="166" w:lineRule="exact"/>
        <w:rPr>
          <w:sz w:val="20"/>
          <w:szCs w:val="20"/>
          <w:color w:val="auto"/>
        </w:rPr>
      </w:pPr>
    </w:p>
    <w:p>
      <w:pPr>
        <w:ind w:left="680" w:hanging="630"/>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In September 2019, the Company’s lease agreement for its corporate headquarters commenced and will expire in May 2029. Pursuant to the lease, the Company will pay the base rent of approximately $1.3 million per annum through the end of the fifth lease year and approximately $1.4 million per annum thereafter through the expiration date.</w:t>
      </w:r>
    </w:p>
    <w:p>
      <w:pPr>
        <w:spacing w:after="0" w:line="187"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The Company recognizes lease expense on a straight-line basis over the lease term. Lease expense was $0.3 million for the operating lease for the three months ended September 30, 2021 and September 30, 2020. For the nine months ended September 30, 2021 and September 30, 2020, lease expense for the operating lease was $0.9 million and $1.0 million, respectively.</w:t>
      </w:r>
    </w:p>
    <w:p>
      <w:pPr>
        <w:spacing w:after="0" w:line="187"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Cash outflows from operating activities attributable to the operating lease for the nine months ended September 30, 2021 and September 30, 2020 was $1.0 million and $0.5 million, respectively.</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Information related to our leases is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3740" w:type="dxa"/>
            <w:vAlign w:val="bottom"/>
            <w:gridSpan w:val="2"/>
          </w:tcPr>
          <w:p>
            <w:pPr>
              <w:ind w:left="1040"/>
              <w:spacing w:after="0"/>
              <w:rPr>
                <w:sz w:val="20"/>
                <w:szCs w:val="20"/>
                <w:color w:val="auto"/>
              </w:rPr>
            </w:pPr>
            <w:r>
              <w:rPr>
                <w:rFonts w:ascii="Arial" w:cs="Arial" w:eastAsia="Arial" w:hAnsi="Arial"/>
                <w:sz w:val="14"/>
                <w:szCs w:val="14"/>
                <w:b w:val="1"/>
                <w:bCs w:val="1"/>
                <w:color w:val="auto"/>
              </w:rPr>
              <w:t>Balance Sheet Location</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5"/>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Leases</w:t>
            </w:r>
          </w:p>
        </w:tc>
        <w:tc>
          <w:tcPr>
            <w:tcW w:w="3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4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Short-term lease liabilities</w:t>
            </w:r>
          </w:p>
        </w:tc>
        <w:tc>
          <w:tcPr>
            <w:tcW w:w="374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noncurrent liabilities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3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Weighted average remaining lease term, operating lease</w:t>
            </w:r>
          </w:p>
        </w:tc>
        <w:tc>
          <w:tcPr>
            <w:tcW w:w="340" w:type="dxa"/>
            <w:vAlign w:val="bottom"/>
          </w:tcPr>
          <w:p>
            <w:pPr>
              <w:spacing w:after="0"/>
              <w:rPr>
                <w:sz w:val="19"/>
                <w:szCs w:val="19"/>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7.7 years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operating lease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340" w:type="dxa"/>
            <w:vAlign w:val="bottom"/>
          </w:tcPr>
          <w:p>
            <w:pPr>
              <w:spacing w:after="0"/>
              <w:rPr>
                <w:sz w:val="24"/>
                <w:szCs w:val="24"/>
                <w:color w:val="auto"/>
              </w:rPr>
            </w:pPr>
          </w:p>
        </w:tc>
        <w:tc>
          <w:tcPr>
            <w:tcW w:w="3500" w:type="dxa"/>
            <w:vAlign w:val="bottom"/>
          </w:tcPr>
          <w:p>
            <w:pPr>
              <w:ind w:left="20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Future minimum facility lease payments as of September 30, 2021, were as follows: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60" w:type="dxa"/>
            <w:vAlign w:val="bottom"/>
          </w:tcPr>
          <w:p>
            <w:pPr>
              <w:jc w:val="right"/>
              <w:ind w:right="673"/>
              <w:spacing w:after="0"/>
              <w:rPr>
                <w:sz w:val="20"/>
                <w:szCs w:val="20"/>
                <w:color w:val="auto"/>
              </w:rPr>
            </w:pPr>
            <w:r>
              <w:rPr>
                <w:rFonts w:ascii="Arial" w:cs="Arial" w:eastAsia="Arial" w:hAnsi="Arial"/>
                <w:sz w:val="14"/>
                <w:szCs w:val="14"/>
                <w:b w:val="1"/>
                <w:bCs w:val="1"/>
                <w:color w:val="auto"/>
              </w:rPr>
              <w:t>Operating Lease Payments</w:t>
            </w:r>
          </w:p>
        </w:tc>
        <w:tc>
          <w:tcPr>
            <w:tcW w:w="0" w:type="dxa"/>
            <w:vAlign w:val="bottom"/>
          </w:tcPr>
          <w:p>
            <w:pPr>
              <w:spacing w:after="0"/>
              <w:rPr>
                <w:sz w:val="1"/>
                <w:szCs w:val="1"/>
                <w:color w:val="auto"/>
              </w:rPr>
            </w:pPr>
          </w:p>
        </w:tc>
      </w:tr>
      <w:tr>
        <w:trPr>
          <w:trHeight w:val="17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as of September 30, 2021</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4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80" w:hanging="630"/>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left="700" w:right="59" w:firstLine="648"/>
        <w:spacing w:after="0" w:line="273" w:lineRule="auto"/>
        <w:rPr>
          <w:sz w:val="20"/>
          <w:szCs w:val="20"/>
          <w:color w:val="auto"/>
        </w:rPr>
      </w:pPr>
      <w:r>
        <w:rPr>
          <w:rFonts w:ascii="Arial" w:cs="Arial" w:eastAsia="Arial" w:hAnsi="Arial"/>
          <w:sz w:val="17"/>
          <w:szCs w:val="17"/>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(as amended, the “SVB Line of Credit”). Eligible accounts receivable was defined in the loan agreement as accounts billed with aging 90 days or less and excluded accounts receivable due for member copayments, coinsurance, and deductibles. The SVB Line of Credit matured in June 2021.</w:t>
      </w:r>
    </w:p>
    <w:p>
      <w:pPr>
        <w:spacing w:after="0" w:line="178"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The Company was required to pay a revolving line commitment fee of $225,000 in three equal annual installments of $75,000 starting on the one-year anniversary of the revolving line. The Company made the first installment payment of $75,000 in June 2019 and accrued this cost. When the Company held unrestricted cash balances greater than $5.0 million, interest accrued at a floating rate per annum equal to the greater of prime rate or 4.75%. If the unrestricted cash balance was less than $5.0 million, interest accrued at a floating rate per annum equal to the greater of prime rate plus 0.5% or 4.75%, with interest payable monthly. Interest was paid based upon the borrowed funds.</w:t>
      </w:r>
    </w:p>
    <w:p>
      <w:pPr>
        <w:spacing w:after="0" w:line="195"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The SVB Line of Credit contained customary affirmative covenants, financial covenants, as well as negative covenants that, among other things, restricted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required the Company to achieve a specified minimum quarterly revenue as defined by the SVB Line of Credit.</w:t>
      </w:r>
    </w:p>
    <w:p>
      <w:pPr>
        <w:spacing w:after="0" w:line="178"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During the nine months ended September 30, 2021 and 2020, the Company recorded interest expense on the SVB Line of Credit of $38,000 and $56,000, respectively.</w:t>
      </w:r>
    </w:p>
    <w:p>
      <w:pPr>
        <w:spacing w:after="0" w:line="166" w:lineRule="exact"/>
        <w:rPr>
          <w:sz w:val="20"/>
          <w:szCs w:val="20"/>
          <w:color w:val="auto"/>
        </w:rPr>
      </w:pPr>
    </w:p>
    <w:p>
      <w:pPr>
        <w:ind w:left="700" w:right="5879" w:hanging="650"/>
        <w:spacing w:after="0" w:line="566" w:lineRule="auto"/>
        <w:tabs>
          <w:tab w:leader="none" w:pos="59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Arbitration/Litigation</w:t>
      </w:r>
    </w:p>
    <w:p>
      <w:pPr>
        <w:ind w:left="700" w:right="79" w:firstLine="648"/>
        <w:spacing w:after="0" w:line="342" w:lineRule="auto"/>
        <w:rPr>
          <w:sz w:val="20"/>
          <w:szCs w:val="20"/>
          <w:color w:val="auto"/>
        </w:rPr>
      </w:pPr>
      <w:r>
        <w:rPr>
          <w:rFonts w:ascii="Arial" w:cs="Arial" w:eastAsia="Arial" w:hAnsi="Arial"/>
          <w:sz w:val="16"/>
          <w:szCs w:val="16"/>
          <w:color w:val="auto"/>
        </w:rPr>
        <w:t>On January 14, 2019, a vendor filed a Demand for Arbitration and Statement of Claim against the Company (“Demand”) for alleged breach of the November 10, 2017 Preferred Specialty Pharmacy Agreement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(“Agreement”) between the Company and the vendor. On March 13, 2019, the Company terminated the Agreement for material breach by the vendor. On April 3, 2019, the vendor filed a Second Amended Demand for Arbitration (“SAD”) for breach of the Agreement. The vendor was seeking $25.0 million in damages, fees, interest and cost. Final arbitration arguments were held on October 20, 2020. To expeditiously resolve the matter, the parties ultimately proposed a settlement to the Arbitration Panel on November 16, 2020. In December 2020, the Company finalized and settled the arbitration for $5.75 million without admission of liability to avoid further legal costs.</w:t>
      </w:r>
    </w:p>
    <w:p>
      <w:pPr>
        <w:spacing w:after="0" w:line="195" w:lineRule="exact"/>
        <w:rPr>
          <w:sz w:val="20"/>
          <w:szCs w:val="20"/>
          <w:color w:val="auto"/>
        </w:rPr>
      </w:pPr>
    </w:p>
    <w:p>
      <w:pPr>
        <w:jc w:val="both"/>
        <w:ind w:left="700" w:right="59" w:firstLine="648"/>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372"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8</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which was included in the statements of operations as follows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jc w:val="right"/>
              <w:spacing w:after="0"/>
              <w:rPr>
                <w:sz w:val="20"/>
                <w:szCs w:val="20"/>
                <w:color w:val="auto"/>
              </w:rPr>
            </w:pPr>
            <w:r>
              <w:rPr>
                <w:rFonts w:ascii="Arial" w:cs="Arial" w:eastAsia="Arial" w:hAnsi="Arial"/>
                <w:sz w:val="17"/>
                <w:szCs w:val="17"/>
                <w:color w:val="auto"/>
                <w:w w:val="70"/>
              </w:rPr>
              <w:t>9</w:t>
            </w:r>
            <w:r>
              <w:rPr>
                <w:rFonts w:ascii="Arial" w:cs="Arial" w:eastAsia="Arial" w:hAnsi="Arial"/>
                <w:sz w:val="17"/>
                <w:szCs w:val="17"/>
                <w:b w:val="1"/>
                <w:bCs w:val="1"/>
                <w:color w:val="auto"/>
                <w:w w:val="70"/>
              </w:rPr>
              <w:t>.</w:t>
            </w:r>
          </w:p>
        </w:tc>
        <w:tc>
          <w:tcPr>
            <w:tcW w:w="42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60" w:type="dxa"/>
            <w:vAlign w:val="bottom"/>
            <w:gridSpan w:val="2"/>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For the nine months ended September 30, 2021 and 2020,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nine months ended September 30, 2021, the Company recorded a benefit for taxes of $17.9 million primarily due to equity compensation activity that occurred during the period. During the nine months ended September 30, 2020, the Company recorded a provision for taxes of $0.1 million.</w:t>
      </w:r>
    </w:p>
    <w:p>
      <w:pPr>
        <w:spacing w:after="0" w:line="174" w:lineRule="exact"/>
        <w:rPr>
          <w:sz w:val="20"/>
          <w:szCs w:val="20"/>
          <w:color w:val="auto"/>
        </w:rPr>
      </w:pPr>
    </w:p>
    <w:p>
      <w:pPr>
        <w:ind w:left="780" w:hanging="730"/>
        <w:spacing w:after="0"/>
        <w:tabs>
          <w:tab w:leader="none" w:pos="7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Basic net income per share attributable to common stockholders is calculated by dividing the net income attributable to common stockholders by the weighted-average number of shares of common stock outstanding for the period.</w:t>
      </w:r>
    </w:p>
    <w:p>
      <w:pPr>
        <w:spacing w:after="0" w:line="184"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Diluted net income per share attributable to common stockholders is computed by dividing the diluted net income attributable to common stockholders by the weighted average number of common shares outstanding for the period, including potential dilutive common shares assuming dilutive effect of outstanding common stock options, restricted stock units, and common stock warrants. In periods when the Company has incurred a net loss, diluted net loss per share attributable to common stockholders is the same as basic net loss per share attributable to common stockholders because dilutive common shares are not assumed to have been issued if their effect is anti-dilutive.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firstLine="648"/>
        <w:spacing w:after="0" w:line="342" w:lineRule="auto"/>
        <w:rPr>
          <w:sz w:val="20"/>
          <w:szCs w:val="20"/>
          <w:color w:val="auto"/>
        </w:rPr>
      </w:pPr>
      <w:r>
        <w:rPr>
          <w:rFonts w:ascii="Arial" w:cs="Arial" w:eastAsia="Arial" w:hAnsi="Arial"/>
          <w:sz w:val="16"/>
          <w:szCs w:val="16"/>
          <w:color w:val="auto"/>
        </w:rPr>
        <w:t>A reconciliation of net income available to common stockholders and the number of shares in the calculation of basic and diluted net income per share follows (in thousands, except share and per share amounts):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Basic net income per common share:</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4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16,796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50,689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7,387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Denominator: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Weighted-average shares used in computing basic net income per</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 attributable to common stockholders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89,571,226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86,265,297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88,594,135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85,364,608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w w:val="96"/>
              </w:rPr>
              <w:t>Basic net income per share attributable to common stockholders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b w:val="1"/>
                <w:bCs w:val="1"/>
                <w:color w:val="auto"/>
              </w:rPr>
              <w:t>Diluted net income per common share: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200"/>
              <w:spacing w:after="0"/>
              <w:rPr>
                <w:sz w:val="20"/>
                <w:szCs w:val="20"/>
                <w:color w:val="auto"/>
              </w:rPr>
            </w:pPr>
            <w:r>
              <w:rPr>
                <w:rFonts w:ascii="Arial" w:cs="Arial" w:eastAsia="Arial" w:hAnsi="Arial"/>
                <w:sz w:val="16"/>
                <w:szCs w:val="16"/>
                <w:color w:val="auto"/>
              </w:rPr>
              <w:t>Net income attributable to common stockholders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16,796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50,689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 net income attributable to common stockholders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50,689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20" w:type="dxa"/>
            <w:vAlign w:val="bottom"/>
          </w:tcPr>
          <w:p>
            <w:pPr>
              <w:ind w:left="100"/>
              <w:spacing w:after="0"/>
              <w:rPr>
                <w:sz w:val="20"/>
                <w:szCs w:val="20"/>
                <w:color w:val="auto"/>
              </w:rPr>
            </w:pPr>
            <w:r>
              <w:rPr>
                <w:rFonts w:ascii="Arial" w:cs="Arial" w:eastAsia="Arial" w:hAnsi="Arial"/>
                <w:sz w:val="16"/>
                <w:szCs w:val="16"/>
                <w:color w:val="auto"/>
                <w:w w:val="93"/>
              </w:rPr>
              <w:t>Weighted-average shares used in computing basic net income per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Arial" w:cs="Arial" w:eastAsia="Arial" w:hAnsi="Arial"/>
                <w:sz w:val="16"/>
                <w:szCs w:val="16"/>
                <w:color w:val="auto"/>
              </w:rPr>
              <w:t>share attributable to common stockholder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89,571,226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86,265,297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88,594,135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85,364,608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dilutive securities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10,799,105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12,704,291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11,732,086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13,571,881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ind w:left="100"/>
              <w:spacing w:after="0" w:line="173" w:lineRule="exact"/>
              <w:rPr>
                <w:sz w:val="20"/>
                <w:szCs w:val="20"/>
                <w:color w:val="auto"/>
              </w:rPr>
            </w:pPr>
            <w:r>
              <w:rPr>
                <w:rFonts w:ascii="Arial" w:cs="Arial" w:eastAsia="Arial" w:hAnsi="Arial"/>
                <w:sz w:val="16"/>
                <w:szCs w:val="16"/>
                <w:color w:val="auto"/>
                <w:w w:val="91"/>
              </w:rPr>
              <w:t>Weighted-average shares used in computing diluted net income per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share attributable to common stockholders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100,370,331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98,969,588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100,326,221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98,936,489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ind w:left="200"/>
              <w:spacing w:after="0" w:line="176" w:lineRule="exact"/>
              <w:rPr>
                <w:sz w:val="20"/>
                <w:szCs w:val="20"/>
                <w:color w:val="auto"/>
              </w:rPr>
            </w:pPr>
            <w:r>
              <w:rPr>
                <w:rFonts w:ascii="Arial" w:cs="Arial" w:eastAsia="Arial" w:hAnsi="Arial"/>
                <w:sz w:val="16"/>
                <w:szCs w:val="16"/>
                <w:color w:val="auto"/>
              </w:rPr>
              <w:t>Diluted net income per share attributable to common</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stockholders</w:t>
            </w:r>
          </w:p>
        </w:tc>
        <w:tc>
          <w:tcPr>
            <w:tcW w:w="18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income per share attributable to common stockholders for the period presented because including them would have been antidilutive: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396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1,165,092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721,202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860,650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517,743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Shares issuable under ESPP</w:t>
            </w:r>
          </w:p>
        </w:tc>
        <w:tc>
          <w:tcPr>
            <w:tcW w:w="1080" w:type="dxa"/>
            <w:vAlign w:val="bottom"/>
          </w:tcPr>
          <w:p>
            <w:pPr>
              <w:jc w:val="right"/>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74,123</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3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28,654</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59,876</w:t>
            </w: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1,240,297</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737,482</w:t>
            </w:r>
          </w:p>
        </w:tc>
        <w:tc>
          <w:tcPr>
            <w:tcW w:w="3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889,444</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578,047</w:t>
            </w:r>
          </w:p>
        </w:tc>
      </w:tr>
    </w:tbl>
    <w:p>
      <w:pPr>
        <w:spacing w:after="0" w:line="265" w:lineRule="exact"/>
        <w:rPr>
          <w:sz w:val="20"/>
          <w:szCs w:val="20"/>
          <w:color w:val="auto"/>
        </w:rPr>
      </w:pPr>
    </w:p>
    <w:p>
      <w:pPr>
        <w:ind w:left="680" w:hanging="630"/>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left="700" w:right="59" w:firstLine="648"/>
        <w:spacing w:after="0" w:line="289" w:lineRule="auto"/>
        <w:rPr>
          <w:sz w:val="20"/>
          <w:szCs w:val="20"/>
          <w:color w:val="auto"/>
        </w:rPr>
      </w:pPr>
      <w:r>
        <w:rPr>
          <w:rFonts w:ascii="Arial" w:cs="Arial" w:eastAsia="Arial" w:hAnsi="Arial"/>
          <w:sz w:val="16"/>
          <w:szCs w:val="16"/>
          <w:color w:val="auto"/>
        </w:rPr>
        <w:t>On November 4, 2021, the Company announced that David Schlanger plans to transition to the role of Executive Chairman, effective as of January 1, 2022, and will continue to serve as a director of the Company. In connection with this transition, the Company will enter into an amended and restated employment agreement with Mr. Schlanger, effective as of January 1, 2022. Pursuant to this agreement, Mr. Schlanger will be eligible to receive an equity award for fiscal year 2022 comprised of 333,000 non-qualified stock options and 84,000 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83,000 shares that are eligible to be earned based on the achievement of specified revenue targets.</w:t>
      </w:r>
    </w:p>
    <w:p>
      <w:pPr>
        <w:spacing w:after="0" w:line="166" w:lineRule="exact"/>
        <w:rPr>
          <w:sz w:val="20"/>
          <w:szCs w:val="20"/>
          <w:color w:val="auto"/>
        </w:rPr>
      </w:pPr>
    </w:p>
    <w:p>
      <w:pPr>
        <w:jc w:val="both"/>
        <w:ind w:left="700" w:right="59" w:firstLine="648"/>
        <w:spacing w:after="0" w:line="311" w:lineRule="auto"/>
        <w:rPr>
          <w:sz w:val="20"/>
          <w:szCs w:val="20"/>
          <w:color w:val="auto"/>
        </w:rPr>
      </w:pPr>
      <w:r>
        <w:rPr>
          <w:rFonts w:ascii="Arial" w:cs="Arial" w:eastAsia="Arial" w:hAnsi="Arial"/>
          <w:sz w:val="16"/>
          <w:szCs w:val="16"/>
          <w:color w:val="auto"/>
        </w:rPr>
        <w:t>Pete Anevski, who currently serves as President and Chief Operating Officer, will succeed Mr. Schlanger as Chief Executive Officer, effective as of January 1, 2022. In connection with this transition, the Company will enter into an amended and restated employment agreement with Mr. Anevski, effective as of January 1, 2022.</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Pursuant to this agreement, Mr. Anevski will be eligible to receive an equity award for fiscal year 2022 comprised of 1,000,000 non-qualified stock options and 250,000 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250,000 shares that are eligible to be earned based on the achievement of specified revenue targets.</w:t>
      </w:r>
    </w:p>
    <w:p>
      <w:pPr>
        <w:spacing w:after="0" w:line="192" w:lineRule="exact"/>
        <w:rPr>
          <w:sz w:val="20"/>
          <w:szCs w:val="20"/>
          <w:color w:val="auto"/>
        </w:rPr>
      </w:pPr>
    </w:p>
    <w:p>
      <w:pPr>
        <w:jc w:val="both"/>
        <w:ind w:left="700" w:right="59" w:firstLine="648"/>
        <w:spacing w:after="0" w:line="257" w:lineRule="auto"/>
        <w:rPr>
          <w:sz w:val="20"/>
          <w:szCs w:val="20"/>
          <w:color w:val="auto"/>
        </w:rPr>
      </w:pPr>
      <w:r>
        <w:rPr>
          <w:rFonts w:ascii="Arial" w:cs="Arial" w:eastAsia="Arial" w:hAnsi="Arial"/>
          <w:sz w:val="18"/>
          <w:szCs w:val="18"/>
          <w:color w:val="auto"/>
        </w:rPr>
        <w:t>In addition, on November 8, 2021, the Company’s Board of Directors granted 830,000 non-qualified stock options and 230,000 restricted units awards under the 2019 Equity Incentive Plan to certain other key executives of the Company. The awards will vest over four years, in each case vesting as to 25% on the first anniversary of the vesting commencement date with the remaining 75% of such award vesting in equal quarterly installments thereafter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year ended December 31, 2020, filed with the Securities and Exchange Commission, or the SEC, on March 1, 2021.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to over 180 current clients with at least 1,000 covered lives. We have retained substantially all of our clients since inception, and our member satisfaction is evidenced by our industry-leading Net Promoter Score, or NPS, of +79 for our fertility benefits solution and +81 for our integrated pharmacy benefits solution, Progyny Rx as of December 31, 2020. We currently provide coverage to approximately 2.9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Our members experience healthier pregnancies and superior rates of pregnancy and live births, as well as reduced rates of miscarriages and multiple births, saving valuable time and money and limiting personal and professional disruption.</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center"/>
              <w:spacing w:after="0" w:line="161" w:lineRule="exact"/>
              <w:rPr>
                <w:sz w:val="20"/>
                <w:szCs w:val="20"/>
                <w:color w:val="auto"/>
              </w:rPr>
            </w:pPr>
            <w:r>
              <w:rPr>
                <w:rFonts w:ascii="Arial" w:cs="Arial" w:eastAsia="Arial" w:hAnsi="Arial"/>
                <w:sz w:val="14"/>
                <w:szCs w:val="14"/>
                <w:b w:val="1"/>
                <w:bCs w:val="1"/>
                <w:color w:val="auto"/>
                <w:w w:val="97"/>
              </w:rPr>
              <w:t>Progyny In</w:t>
            </w:r>
            <w:r>
              <w:rPr>
                <w:rFonts w:ascii="MS PGothic" w:cs="MS PGothic" w:eastAsia="MS PGothic" w:hAnsi="MS PGothic"/>
                <w:sz w:val="14"/>
                <w:szCs w:val="14"/>
                <w:b w:val="1"/>
                <w:bCs w:val="1"/>
                <w:color w:val="auto"/>
                <w:w w:val="97"/>
              </w:rPr>
              <w:t>‑</w:t>
            </w:r>
            <w:r>
              <w:rPr>
                <w:rFonts w:ascii="Arial" w:cs="Arial" w:eastAsia="Arial" w:hAnsi="Arial"/>
                <w:sz w:val="14"/>
                <w:szCs w:val="14"/>
                <w:b w:val="1"/>
                <w:bCs w:val="1"/>
                <w:color w:val="auto"/>
                <w:w w:val="97"/>
              </w:rPr>
              <w:t>Network</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National Averages</w:t>
            </w:r>
          </w:p>
        </w:tc>
        <w:tc>
          <w:tcPr>
            <w:tcW w:w="1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Provider Clinic</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4"/>
        </w:trPr>
        <w:tc>
          <w:tcPr>
            <w:tcW w:w="3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Outcome</w:t>
            </w:r>
          </w:p>
        </w:tc>
        <w:tc>
          <w:tcPr>
            <w:tcW w:w="19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for All Provider</w:t>
            </w:r>
          </w:p>
        </w:tc>
        <w:tc>
          <w:tcPr>
            <w:tcW w:w="19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5"/>
              </w:rPr>
              <w:t>Averages</w:t>
            </w: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for Progyny</w:t>
            </w:r>
          </w:p>
        </w:tc>
        <w:tc>
          <w:tcPr>
            <w:tcW w:w="0" w:type="dxa"/>
            <w:vAlign w:val="bottom"/>
          </w:tcPr>
          <w:p>
            <w:pPr>
              <w:spacing w:after="0"/>
              <w:rPr>
                <w:sz w:val="1"/>
                <w:szCs w:val="1"/>
                <w:color w:val="auto"/>
              </w:rPr>
            </w:pPr>
          </w:p>
        </w:tc>
      </w:tr>
      <w:tr>
        <w:trPr>
          <w:trHeight w:val="175"/>
        </w:trPr>
        <w:tc>
          <w:tcPr>
            <w:tcW w:w="3160" w:type="dxa"/>
            <w:vAlign w:val="bottom"/>
            <w:gridSpan w:val="3"/>
            <w:vMerge w:val="continue"/>
          </w:tcPr>
          <w:p>
            <w:pPr>
              <w:spacing w:after="0"/>
              <w:rPr>
                <w:sz w:val="15"/>
                <w:szCs w:val="15"/>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Clinics</w:t>
            </w:r>
          </w:p>
        </w:tc>
        <w:tc>
          <w:tcPr>
            <w:tcW w:w="1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for All Patients</w:t>
            </w:r>
          </w:p>
        </w:tc>
        <w:tc>
          <w:tcPr>
            <w:tcW w:w="17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2"/>
              </w:rPr>
              <w:t>Members Only</w:t>
            </w:r>
            <w:r>
              <w:rPr>
                <w:rFonts w:ascii="Arial" w:cs="Arial" w:eastAsia="Arial" w:hAnsi="Arial"/>
                <w:sz w:val="20"/>
                <w:szCs w:val="20"/>
                <w:b w:val="1"/>
                <w:bCs w:val="1"/>
                <w:color w:val="auto"/>
                <w:w w:val="92"/>
                <w:vertAlign w:val="superscript"/>
              </w:rPr>
              <w:t>(3)</w:t>
            </w:r>
          </w:p>
        </w:tc>
        <w:tc>
          <w:tcPr>
            <w:tcW w:w="0" w:type="dxa"/>
            <w:vAlign w:val="bottom"/>
          </w:tcPr>
          <w:p>
            <w:pPr>
              <w:spacing w:after="0"/>
              <w:rPr>
                <w:sz w:val="1"/>
                <w:szCs w:val="1"/>
                <w:color w:val="auto"/>
              </w:rPr>
            </w:pPr>
          </w:p>
        </w:tc>
      </w:tr>
      <w:tr>
        <w:trPr>
          <w:trHeight w:val="210"/>
        </w:trPr>
        <w:tc>
          <w:tcPr>
            <w:tcW w:w="294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Single embryo transfer rate</w:t>
            </w:r>
            <w:r>
              <w:rPr>
                <w:rFonts w:ascii="Arial" w:cs="Arial" w:eastAsia="Arial" w:hAnsi="Arial"/>
                <w:sz w:val="24"/>
                <w:szCs w:val="24"/>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64.0 %</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67.1 %</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90.1 %</w:t>
            </w:r>
          </w:p>
        </w:tc>
        <w:tc>
          <w:tcPr>
            <w:tcW w:w="0" w:type="dxa"/>
            <w:vAlign w:val="bottom"/>
          </w:tcPr>
          <w:p>
            <w:pPr>
              <w:spacing w:after="0"/>
              <w:rPr>
                <w:sz w:val="1"/>
                <w:szCs w:val="1"/>
                <w:color w:val="auto"/>
              </w:rPr>
            </w:pPr>
          </w:p>
        </w:tc>
      </w:tr>
      <w:tr>
        <w:trPr>
          <w:trHeight w:val="216"/>
        </w:trPr>
        <w:tc>
          <w:tcPr>
            <w:tcW w:w="31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5"/>
                <w:szCs w:val="25"/>
                <w:color w:val="auto"/>
                <w:vertAlign w:val="superscript"/>
              </w:rPr>
              <w:t>(1)</w:t>
            </w:r>
          </w:p>
        </w:tc>
        <w:tc>
          <w:tcPr>
            <w:tcW w:w="1780" w:type="dxa"/>
            <w:vAlign w:val="bottom"/>
          </w:tcPr>
          <w:p>
            <w:pPr>
              <w:jc w:val="right"/>
              <w:ind w:right="57"/>
              <w:spacing w:after="0"/>
              <w:rPr>
                <w:sz w:val="20"/>
                <w:szCs w:val="20"/>
                <w:color w:val="auto"/>
              </w:rPr>
            </w:pPr>
            <w:r>
              <w:rPr>
                <w:rFonts w:ascii="Arial" w:cs="Arial" w:eastAsia="Arial" w:hAnsi="Arial"/>
                <w:sz w:val="18"/>
                <w:szCs w:val="18"/>
                <w:color w:val="auto"/>
              </w:rPr>
              <w:t>53.0 %</w:t>
            </w:r>
          </w:p>
        </w:tc>
        <w:tc>
          <w:tcPr>
            <w:tcW w:w="200" w:type="dxa"/>
            <w:vAlign w:val="bottom"/>
          </w:tcPr>
          <w:p>
            <w:pPr>
              <w:spacing w:after="0"/>
              <w:rPr>
                <w:sz w:val="18"/>
                <w:szCs w:val="18"/>
                <w:color w:val="auto"/>
              </w:rPr>
            </w:pPr>
          </w:p>
        </w:tc>
        <w:tc>
          <w:tcPr>
            <w:tcW w:w="1780" w:type="dxa"/>
            <w:vAlign w:val="bottom"/>
          </w:tcPr>
          <w:p>
            <w:pPr>
              <w:jc w:val="right"/>
              <w:ind w:right="58"/>
              <w:spacing w:after="0"/>
              <w:rPr>
                <w:sz w:val="20"/>
                <w:szCs w:val="20"/>
                <w:color w:val="auto"/>
              </w:rPr>
            </w:pPr>
            <w:r>
              <w:rPr>
                <w:rFonts w:ascii="Arial" w:cs="Arial" w:eastAsia="Arial" w:hAnsi="Arial"/>
                <w:sz w:val="18"/>
                <w:szCs w:val="18"/>
                <w:color w:val="auto"/>
              </w:rPr>
              <w:t>54.7 %</w:t>
            </w:r>
          </w:p>
        </w:tc>
        <w:tc>
          <w:tcPr>
            <w:tcW w:w="2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Miscarriage rate</w:t>
            </w:r>
            <w:r>
              <w:rPr>
                <w:rFonts w:ascii="Arial" w:cs="Arial" w:eastAsia="Arial" w:hAnsi="Arial"/>
                <w:sz w:val="25"/>
                <w:szCs w:val="25"/>
                <w:color w:val="auto"/>
                <w:vertAlign w:val="superscript"/>
              </w:rPr>
              <w:t>(1)</w:t>
            </w:r>
          </w:p>
        </w:tc>
        <w:tc>
          <w:tcPr>
            <w:tcW w:w="1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18.6 %</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18.4 %</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16"/>
        </w:trPr>
        <w:tc>
          <w:tcPr>
            <w:tcW w:w="31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Live birth rate</w:t>
            </w:r>
            <w:r>
              <w:rPr>
                <w:rFonts w:ascii="Arial" w:cs="Arial" w:eastAsia="Arial" w:hAnsi="Arial"/>
                <w:sz w:val="25"/>
                <w:szCs w:val="25"/>
                <w:color w:val="auto"/>
                <w:vertAlign w:val="superscript"/>
              </w:rPr>
              <w:t>(2)</w:t>
            </w:r>
          </w:p>
        </w:tc>
        <w:tc>
          <w:tcPr>
            <w:tcW w:w="1780" w:type="dxa"/>
            <w:vAlign w:val="bottom"/>
          </w:tcPr>
          <w:p>
            <w:pPr>
              <w:jc w:val="right"/>
              <w:ind w:right="57"/>
              <w:spacing w:after="0"/>
              <w:rPr>
                <w:sz w:val="20"/>
                <w:szCs w:val="20"/>
                <w:color w:val="auto"/>
              </w:rPr>
            </w:pPr>
            <w:r>
              <w:rPr>
                <w:rFonts w:ascii="Arial" w:cs="Arial" w:eastAsia="Arial" w:hAnsi="Arial"/>
                <w:sz w:val="18"/>
                <w:szCs w:val="18"/>
                <w:color w:val="auto"/>
              </w:rPr>
              <w:t>42.2 %</w:t>
            </w:r>
          </w:p>
        </w:tc>
        <w:tc>
          <w:tcPr>
            <w:tcW w:w="200" w:type="dxa"/>
            <w:vAlign w:val="bottom"/>
          </w:tcPr>
          <w:p>
            <w:pPr>
              <w:spacing w:after="0"/>
              <w:rPr>
                <w:sz w:val="18"/>
                <w:szCs w:val="18"/>
                <w:color w:val="auto"/>
              </w:rPr>
            </w:pPr>
          </w:p>
        </w:tc>
        <w:tc>
          <w:tcPr>
            <w:tcW w:w="1780" w:type="dxa"/>
            <w:vAlign w:val="bottom"/>
          </w:tcPr>
          <w:p>
            <w:pPr>
              <w:jc w:val="right"/>
              <w:ind w:right="58"/>
              <w:spacing w:after="0"/>
              <w:rPr>
                <w:sz w:val="20"/>
                <w:szCs w:val="20"/>
                <w:color w:val="auto"/>
              </w:rPr>
            </w:pPr>
            <w:r>
              <w:rPr>
                <w:rFonts w:ascii="Arial" w:cs="Arial" w:eastAsia="Arial" w:hAnsi="Arial"/>
                <w:sz w:val="18"/>
                <w:szCs w:val="18"/>
                <w:color w:val="auto"/>
              </w:rPr>
              <w:t>43.6 %</w:t>
            </w:r>
          </w:p>
        </w:tc>
        <w:tc>
          <w:tcPr>
            <w:tcW w:w="2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5"/>
                <w:szCs w:val="25"/>
                <w:color w:val="auto"/>
                <w:vertAlign w:val="superscript"/>
              </w:rPr>
              <w:t>(2)</w:t>
            </w:r>
          </w:p>
        </w:tc>
        <w:tc>
          <w:tcPr>
            <w:tcW w:w="1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9.9 %</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9.1 %</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40" w:right="2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2018 National Summary Report, finalized in 2021.</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based on CDC, 2019 National Summary and Clinic Data Sets, published in 2021.</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2020.</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b w:val="1"/>
          <w:bCs w:val="1"/>
          <w:i w:val="1"/>
          <w:iCs w:val="1"/>
          <w:color w:val="auto"/>
        </w:rPr>
        <w:t>Fertility Benefits Solution</w:t>
      </w:r>
      <w:r>
        <w:rPr>
          <w:rFonts w:ascii="Arial" w:cs="Arial" w:eastAsia="Arial" w:hAnsi="Arial"/>
          <w:sz w:val="16"/>
          <w:szCs w:val="16"/>
          <w:color w:val="auto"/>
        </w:rPr>
        <w:t>. Our fertility benefits solution includes providing members with access to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cost-efficient fertility treatments through our Smart Cycle plan design. Smart Cycles are proprietary treatment bundles designed by us to include those medical services available to our members through our selective network of high-quality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9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Progyny Rx. </w:t>
      </w:r>
      <w:r>
        <w:rPr>
          <w:rFonts w:ascii="Arial" w:cs="Arial" w:eastAsia="Arial" w:hAnsi="Arial"/>
          <w:sz w:val="18"/>
          <w:szCs w:val="18"/>
          <w:color w:val="auto"/>
        </w:rPr>
        <w:t>We went live with our integrated pharmacy benefits solution in 2018. Progyny Rx can only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9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b w:val="1"/>
          <w:bCs w:val="1"/>
          <w:i w:val="1"/>
          <w:iCs w:val="1"/>
          <w:color w:val="auto"/>
        </w:rPr>
        <w:t xml:space="preserve">Our Clients. </w:t>
      </w:r>
      <w:r>
        <w:rPr>
          <w:rFonts w:ascii="Arial" w:cs="Arial" w:eastAsia="Arial" w:hAnsi="Arial"/>
          <w:sz w:val="16"/>
          <w:szCs w:val="16"/>
          <w:color w:val="auto"/>
        </w:rPr>
        <w:t>We currently serve over 180 employers with at least 1,000 covered lives in the United States across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30 industries. Our current clients, who are industry leaders across both high-growth and mature industries and who range in size from approximately 1,000 to 500,000 employees, represent approximately 2.9 million covered lives.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jc w:val="both"/>
        <w:ind w:left="1040" w:right="79" w:hanging="315"/>
        <w:spacing w:after="0" w:line="25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1" w:lineRule="exact"/>
        <w:rPr>
          <w:rFonts w:ascii="Arial" w:cs="Arial" w:eastAsia="Arial" w:hAnsi="Arial"/>
          <w:sz w:val="18"/>
          <w:szCs w:val="18"/>
          <w:color w:val="auto"/>
        </w:rPr>
      </w:pPr>
    </w:p>
    <w:p>
      <w:pPr>
        <w:jc w:val="both"/>
        <w:ind w:left="1040" w:right="79" w:hanging="315"/>
        <w:spacing w:after="0" w:line="275"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Population-Based Component. </w:t>
      </w:r>
      <w:r>
        <w:rPr>
          <w:rFonts w:ascii="Arial" w:cs="Arial" w:eastAsia="Arial" w:hAnsi="Arial"/>
          <w:sz w:val="17"/>
          <w:szCs w:val="17"/>
          <w:color w:val="auto"/>
        </w:rPr>
        <w:t>Clients who purchase our fertility benefits solution also typically pay us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1% and 2% of our total revenue for the nine months ended September 30, 2021 and 2020, respectively.</w:t>
      </w:r>
    </w:p>
    <w:p>
      <w:pPr>
        <w:spacing w:after="0" w:line="176"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education and annual open enrollment to occur in November. For some clients that are considering a start date later in the year, the sales cycle can extend through the next year.</w:t>
      </w:r>
    </w:p>
    <w:p>
      <w:pPr>
        <w:spacing w:after="0" w:line="170" w:lineRule="exact"/>
        <w:rPr>
          <w:sz w:val="20"/>
          <w:szCs w:val="20"/>
          <w:color w:val="auto"/>
        </w:rPr>
      </w:pPr>
    </w:p>
    <w:p>
      <w:pPr>
        <w:jc w:val="both"/>
        <w:ind w:left="60" w:right="59" w:firstLine="648"/>
        <w:spacing w:after="0" w:line="340"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plan year start.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b w:val="1"/>
          <w:bCs w:val="1"/>
          <w:i w:val="1"/>
          <w:iCs w:val="1"/>
          <w:color w:val="auto"/>
        </w:rPr>
        <w:t xml:space="preserve">Member and Client Base. </w:t>
      </w:r>
      <w:r>
        <w:rPr>
          <w:rFonts w:ascii="Arial" w:cs="Arial" w:eastAsia="Arial" w:hAnsi="Arial"/>
          <w:sz w:val="16"/>
          <w:szCs w:val="16"/>
          <w:color w:val="auto"/>
        </w:rPr>
        <w:t>Our addressable market is primarily large self-insured employers. There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8,000 employers in the United States (excluding quasi-governmental entities, such as universities and school systems, and labor unions) who have a minimum of 1,000 employees, representing approximately 69 million potential covered lives in total. Our current member base of approximately 2.9 million lives represents a 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September 30, 2021 and September 30, 2020, we served 188 and 135 clients, respectively.</w:t>
      </w:r>
    </w:p>
    <w:p>
      <w:pPr>
        <w:spacing w:after="0" w:line="16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30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b w:val="1"/>
          <w:bCs w:val="1"/>
          <w:i w:val="1"/>
          <w:iCs w:val="1"/>
          <w:color w:val="auto"/>
        </w:rPr>
        <w:t>Benefits Utilization</w:t>
      </w:r>
      <w:r>
        <w:rPr>
          <w:rFonts w:ascii="Arial" w:cs="Arial" w:eastAsia="Arial" w:hAnsi="Arial"/>
          <w:sz w:val="18"/>
          <w:szCs w:val="18"/>
          <w:color w:val="auto"/>
        </w:rPr>
        <w:t>. A key driver of our revenue is the number of members we serve and the rate at which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their fertility benefits. As our client base has grown, our membership has grown from approximately 110,000 members in 2016 when we launched our fertility benefits solution to approximately 2.9 million members as of September 30, 2021.</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highlights the number of assisted reproductive treatment, or ART, cycles performed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Progyny members and the member utilization rates for each of the periods presented: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24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740" w:type="dxa"/>
            <w:vAlign w:val="bottom"/>
          </w:tcPr>
          <w:p>
            <w:pPr>
              <w:spacing w:after="0"/>
              <w:rPr>
                <w:sz w:val="14"/>
                <w:szCs w:val="14"/>
                <w:color w:val="auto"/>
              </w:rPr>
            </w:pPr>
          </w:p>
        </w:tc>
        <w:tc>
          <w:tcPr>
            <w:tcW w:w="2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2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7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3740" w:type="dxa"/>
            <w:vAlign w:val="bottom"/>
            <w:shd w:val="clear" w:color="auto" w:fill="CCEEFF"/>
          </w:tcPr>
          <w:p>
            <w:pPr>
              <w:ind w:left="20"/>
              <w:spacing w:after="0" w:line="210" w:lineRule="exact"/>
              <w:rPr>
                <w:sz w:val="20"/>
                <w:szCs w:val="20"/>
                <w:color w:val="auto"/>
              </w:rPr>
            </w:pPr>
            <w:r>
              <w:rPr>
                <w:rFonts w:ascii="Arial" w:cs="Arial" w:eastAsia="Arial" w:hAnsi="Arial"/>
                <w:sz w:val="17"/>
                <w:szCs w:val="17"/>
                <w:color w:val="auto"/>
                <w:w w:val="98"/>
              </w:rPr>
              <w:t>Assisted Reproductive Treatment (ART) Cycles</w:t>
            </w:r>
            <w:r>
              <w:rPr>
                <w:rFonts w:ascii="Arial" w:cs="Arial" w:eastAsia="Arial" w:hAnsi="Arial"/>
                <w:sz w:val="24"/>
                <w:szCs w:val="24"/>
                <w:color w:val="auto"/>
                <w:w w:val="98"/>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r>
      <w:tr>
        <w:trPr>
          <w:trHeight w:val="216"/>
        </w:trPr>
        <w:tc>
          <w:tcPr>
            <w:tcW w:w="3740" w:type="dxa"/>
            <w:vAlign w:val="bottom"/>
          </w:tcPr>
          <w:p>
            <w:pPr>
              <w:ind w:left="20"/>
              <w:spacing w:after="0" w:line="216"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5"/>
                <w:szCs w:val="25"/>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16"/>
        </w:trPr>
        <w:tc>
          <w:tcPr>
            <w:tcW w:w="37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5"/>
                <w:szCs w:val="25"/>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Average Members</w:t>
            </w:r>
          </w:p>
        </w:tc>
        <w:tc>
          <w:tcPr>
            <w:tcW w:w="1120" w:type="dxa"/>
            <w:vAlign w:val="bottom"/>
          </w:tcPr>
          <w:p>
            <w:pPr>
              <w:jc w:val="right"/>
              <w:spacing w:after="0"/>
              <w:rPr>
                <w:sz w:val="20"/>
                <w:szCs w:val="20"/>
                <w:color w:val="auto"/>
              </w:rPr>
            </w:pPr>
            <w:r>
              <w:rPr>
                <w:rFonts w:ascii="Arial" w:cs="Arial" w:eastAsia="Arial" w:hAnsi="Arial"/>
                <w:sz w:val="18"/>
                <w:szCs w:val="18"/>
                <w:color w:val="auto"/>
              </w:rPr>
              <w:t>2,856,000</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2,221,000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2,774,000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1" w:lineRule="exact"/>
        <w:rPr>
          <w:sz w:val="20"/>
          <w:szCs w:val="20"/>
          <w:color w:val="auto"/>
        </w:rPr>
      </w:pPr>
    </w:p>
    <w:p>
      <w:pPr>
        <w:ind w:left="380" w:right="79" w:hanging="330"/>
        <w:spacing w:after="0" w:line="277" w:lineRule="auto"/>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1" w:lineRule="exact"/>
        <w:rPr>
          <w:rFonts w:ascii="Arial" w:cs="Arial" w:eastAsia="Arial" w:hAnsi="Arial"/>
          <w:sz w:val="18"/>
          <w:szCs w:val="18"/>
          <w:color w:val="231F20"/>
        </w:rPr>
      </w:pPr>
    </w:p>
    <w:p>
      <w:pPr>
        <w:jc w:val="both"/>
        <w:ind w:left="380" w:right="79" w:hanging="330"/>
        <w:spacing w:after="0" w:line="255" w:lineRule="auto"/>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The COVID-19 pandemic has significantly impacted various markets around the world, including the United States. As described below,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on our revenue.</w:t>
      </w:r>
    </w:p>
    <w:p>
      <w:pPr>
        <w:spacing w:after="0" w:line="17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Employee safety is our first priority, and as a result, we had implemented a remote working policy for all of our employees. We have recently re-opened our corporate offices to employees on a hybrid basis, while implementing additional safety measures and protocols. We are also working closely with all of our clients, members, providers and other external business partners. We believe we have sufficient liquidity to satisfy our cash needs, however, we continue to monitor liquidity, as necessary, and ensure that our business can continue to operate during these uncertain times.</w:t>
      </w:r>
    </w:p>
    <w:p>
      <w:pPr>
        <w:spacing w:after="0" w:line="16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outbreak and preventative measures taken to contain COVID-19, especially in the first half of 2020, negatively impacted our members’ access to care due to a temporary unavailability of the full range of fertility treatments at our provider clinics. In March 2020, the American Society for Reproductive Medicine, or ASRM, issued guidelines recommending enhanced safety protocols for patient safety. Those guidelines were lifted in May 2020, which has enabled our clinics to resume care. COVID-19 and related restrictions did continue to have a negative impact on our revenue growth for the three and nine months ended September 30, 2021.</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full extent to which the COVID-19 pandemic will directly or indirectly impact our business, future results of operations and financial condition will depend on future developments that are highly uncertain and cannot be accurately predicted, including, without limitation, new information that may emerge concerning COVID-19 and variants; the timing, extent, trajectory and duration of the pandemic; the availability, distribution and effectiveness of vaccines as well as vaccine hesitancy; the imposition of protective public safety measures; and the economic impact on local, regional and national markets. To the extent that the markets we serve experience increased cases of COVID-19, state or local governments may reinstitute measures to control its spread, which could again negatively impact our members’ access to care. We will continue to evaluate the nature and extent of these potential impacts to our business, results of operations and liquidity.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additional information on the various risks posed by the COVID-19 pandemic, please read Part II, Item 1A.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 Factors included in this Quarterly Report on Form 10-Q.</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 and Claims Processing teams;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and (3) related information technology support costs. Our contracts with provider clinics are typically for a term of one to two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for employees and professional fees and insurance and related third-party consulting services on an ongoing basis as a public company and to support growth in the business.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(expense), net primarily includes investment income and interest income and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As of December 31, 2020, we determined that there was sufficient positive evidence to conclude that it is more likely than not that the net deferred tax assets were realizable and released substantially all of our valuation allowance. We continue to maintain this position as of September 30,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3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36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6"/>
          </w:tcPr>
          <w:p>
            <w:pPr>
              <w:jc w:val="right"/>
              <w:ind w:right="415"/>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122,284</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36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373,068</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Cost of services</w:t>
            </w:r>
            <w:r>
              <w:rPr>
                <w:rFonts w:ascii="Arial" w:cs="Arial" w:eastAsia="Arial" w:hAnsi="Arial"/>
                <w:sz w:val="25"/>
                <w:szCs w:val="25"/>
                <w:color w:val="auto"/>
                <w:vertAlign w:val="superscript"/>
              </w:rPr>
              <w:t>(1)</w:t>
            </w:r>
          </w:p>
        </w:tc>
        <w:tc>
          <w:tcPr>
            <w:tcW w:w="5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286,048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195,164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ind w:left="10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5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5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436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50,689</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gridSpan w:val="2"/>
          </w:tcPr>
          <w:p>
            <w:pPr>
              <w:spacing w:after="0"/>
              <w:rPr>
                <w:sz w:val="8"/>
                <w:szCs w:val="8"/>
                <w:color w:val="auto"/>
              </w:rPr>
            </w:pPr>
          </w:p>
        </w:tc>
        <w:tc>
          <w:tcPr>
            <w:tcW w:w="2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360" w:type="dxa"/>
            <w:vAlign w:val="bottom"/>
            <w:gridSpan w:val="3"/>
          </w:tcPr>
          <w:p>
            <w:pPr>
              <w:ind w:left="20"/>
              <w:spacing w:after="0"/>
              <w:rPr>
                <w:sz w:val="20"/>
                <w:szCs w:val="20"/>
                <w:color w:val="auto"/>
              </w:rPr>
            </w:pPr>
            <w:r>
              <w:rPr>
                <w:rFonts w:ascii="Arial" w:cs="Arial" w:eastAsia="Arial" w:hAnsi="Arial"/>
                <w:sz w:val="18"/>
                <w:szCs w:val="18"/>
                <w:color w:val="auto"/>
                <w:w w:val="90"/>
              </w:rPr>
              <w:t>(1) Includes stock-based compensation expense as follows: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09"/>
        </w:trPr>
        <w:tc>
          <w:tcPr>
            <w:tcW w:w="436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60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vMerge w:val="restart"/>
          </w:tcPr>
          <w:p>
            <w:pPr>
              <w:jc w:val="right"/>
              <w:ind w:right="270"/>
              <w:spacing w:after="0"/>
              <w:rPr>
                <w:sz w:val="20"/>
                <w:szCs w:val="20"/>
                <w:color w:val="auto"/>
              </w:rPr>
            </w:pPr>
            <w:r>
              <w:rPr>
                <w:rFonts w:ascii="Arial" w:cs="Arial" w:eastAsia="Arial" w:hAnsi="Arial"/>
                <w:sz w:val="18"/>
                <w:szCs w:val="18"/>
                <w:color w:val="auto"/>
                <w:w w:val="89"/>
              </w:rPr>
              <w:t>29</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84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Operations Data, as a percentage of revenue:</w:t>
            </w: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6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other (income) expense, net and interest (income) expense, net; (5) it does not reflect tax payments that may represent a reduction in cash available to us; and (7) it does not include legal fees associated with a vendor arbitration.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16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calculate Adjusted EBITDA as net income, adjusted to exclude depreciation and amortization, stock-based compensation expense, other (income) expense, net, interest (income) expense, net, (benefit) provision for income taxes,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legal fees associated with a vendor arbitration. The following table presents a reconciliation of Adjusted EBITDA to net income for each of the periods indicated: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7"/>
          </w:tcPr>
          <w:p>
            <w:pPr>
              <w:jc w:val="right"/>
              <w:ind w:right="2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6"/>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2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4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6"/>
          </w:tcPr>
          <w:p>
            <w:pPr>
              <w:ind w:left="40"/>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16,796</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50,689</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Add: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
              <w:spacing w:after="0"/>
              <w:rPr>
                <w:sz w:val="20"/>
                <w:szCs w:val="20"/>
                <w:color w:val="auto"/>
              </w:rPr>
            </w:pPr>
            <w:r>
              <w:rPr>
                <w:rFonts w:ascii="Arial" w:cs="Arial" w:eastAsia="Arial" w:hAnsi="Arial"/>
                <w:sz w:val="18"/>
                <w:szCs w:val="18"/>
                <w:color w:val="auto"/>
              </w:rPr>
              <w:t>18,698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Interest (income) expense, net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provision for income taxes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(17,856)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Legal fees associated with a vendor arbitration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52,211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0"/>
        </w:trPr>
        <w:tc>
          <w:tcPr>
            <w:tcW w:w="482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00" w:type="dxa"/>
            <w:vAlign w:val="bottom"/>
            <w:gridSpan w:val="4"/>
          </w:tcPr>
          <w:p>
            <w:pPr>
              <w:spacing w:after="0"/>
              <w:rPr>
                <w:sz w:val="20"/>
                <w:szCs w:val="20"/>
                <w:color w:val="auto"/>
              </w:rPr>
            </w:pPr>
            <w:r>
              <w:rPr>
                <w:rFonts w:ascii="Arial" w:cs="Arial" w:eastAsia="Arial" w:hAnsi="Arial"/>
                <w:sz w:val="18"/>
                <w:szCs w:val="18"/>
                <w:b w:val="1"/>
                <w:bCs w:val="1"/>
                <w:color w:val="auto"/>
                <w:w w:val="89"/>
              </w:rPr>
              <w:t>Comparison of Three Months Ended September 30, 2021 and 2020</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(dollars in</w:t>
            </w:r>
          </w:p>
        </w:tc>
        <w:tc>
          <w:tcPr>
            <w:tcW w:w="200" w:type="dxa"/>
            <w:vAlign w:val="bottom"/>
          </w:tcPr>
          <w:p>
            <w:pPr>
              <w:spacing w:after="0"/>
              <w:rPr>
                <w:sz w:val="15"/>
                <w:szCs w:val="15"/>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thousands)</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gridSpan w:val="4"/>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5"/>
              </w:rPr>
              <w:t>$122,284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$98,928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Revenue increased by $23.4 million, or 24%, for the three months ended September 30, 2021 compared to the three months ended September 30, 2020. This increase is primarily due to a $12.2 million, or 17% increase in revenue from our fertility benefits solution and a $11.2 million or 43%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went live with only a select number of clients on January 1, 2018 and has continued to add both new and existing fertility benefit solution clients since its initial launch. Our revenue growth for the three months ended September 30, 2021 and September 30, 2020 was negatively impacted by COVID-19.</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$93,792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$78,092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Cost of services increased by $15.7 million, or 20% for the three months ended September 30, 2021 compared to the three months ended September 30, 2020, primarily due to an increase in medical treatment and pharmacy prescription costs associated with fertility treatments delivered as well as increases in personnel-related costs, including stock-based compensation.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4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(dollars in</w:t>
            </w: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$28,492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$20,836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Gross margin</w:t>
            </w: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Gross profit increased by $7.7 million for the three months ended September 30, 2021 compared to the three months ended September 30, 2020.</w:t>
      </w:r>
    </w:p>
    <w:p>
      <w:pPr>
        <w:spacing w:after="0" w:line="170"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Gross margin increased 220 basis points for the three months ended September 30, 2021 compared to the three months ended September 30, 2020, primarily due to favorable new terms with our pharmacy program partners, the net impact of regular contract renewals with our providers as well as continued efficiencies gained across our care management services.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$4,441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Sales and marketing expense increased by $1.1 million, or 32%, for the three months ended September 30, 2021 compared to the three months ended September 30, 2020. This increase was primarily due to a $1.1 million increase in personnel-related costs relating to additional headcount and commissions for sales and marketing functions.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$14,986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General and administrative expense increased by $2.3 million, or 18%, for the three months ended September 30, 2021 compared to the three months ended September 30, 2020. This increase was primarily due to a $3.7 million increase in personnel-related costs (including a $2.8 million increase in stock-based compensation) as a result of additional headcount for general and administrative functions and a $0.6 million increase in bad debt expense. These increases were partially offset by a $1.7 million decrease in legal costs compared to the three months ended September 30, 2020 for a vendor arbitration, which was settled in the fourth quarter of 2020, and a $0.3 million decrease in other related general and administrative expenses. See Note 7 – Commitments and Contingencies – in the notes to the consolidated financial statements included in Part I, Item 1, of this Quarterly Report on Form 10-Q.</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Other income (expense), net improved by $0.1 million for the three months ended September 30, 2021 compared to the three months ended September 30, 2020, primarily due to an increase in interest earned on investments.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$7,679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For the three months ended September 30, 2021, we recorded a benefit for income taxes of $7.7 million primarily due to equity compensation activity that occurred during the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Nine Months Ended September 30, 2021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6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8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(dollars in</w:t>
            </w:r>
          </w:p>
        </w:tc>
        <w:tc>
          <w:tcPr>
            <w:tcW w:w="760" w:type="dxa"/>
            <w:vAlign w:val="bottom"/>
          </w:tcPr>
          <w:p>
            <w:pPr>
              <w:spacing w:after="0"/>
              <w:rPr>
                <w:sz w:val="20"/>
                <w:szCs w:val="20"/>
                <w:color w:val="auto"/>
              </w:rPr>
            </w:pPr>
            <w:r>
              <w:rPr>
                <w:rFonts w:ascii="Arial" w:cs="Arial" w:eastAsia="Arial" w:hAnsi="Arial"/>
                <w:sz w:val="14"/>
                <w:szCs w:val="14"/>
                <w:b w:val="1"/>
                <w:bCs w:val="1"/>
                <w:color w:val="auto"/>
                <w:w w:val="98"/>
              </w:rPr>
              <w:t>thousands)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$373,068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$244,557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Revenue increased by $128.5 million, or 53%, for the nine months ended September 30, 2021 compared to the nine months ended September 30, 2020. This increase is primarily due to a $87.6 million, or 49% increase in revenue from our fertility benefits solution and a $40.9 million or 62%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went live with only a select number of clients on January 1, 2018 and has continued to add both new and existing fertility benefit solution clients since its initial launch. Our revenue growth for the nine months ended September 30, 2021 and September 30, 2020 was negatively impacted by COVID-19.</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6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8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(dollars in</w:t>
            </w:r>
          </w:p>
        </w:tc>
        <w:tc>
          <w:tcPr>
            <w:tcW w:w="760" w:type="dxa"/>
            <w:vAlign w:val="bottom"/>
          </w:tcPr>
          <w:p>
            <w:pPr>
              <w:spacing w:after="0"/>
              <w:rPr>
                <w:sz w:val="20"/>
                <w:szCs w:val="20"/>
                <w:color w:val="auto"/>
              </w:rPr>
            </w:pPr>
            <w:r>
              <w:rPr>
                <w:rFonts w:ascii="Arial" w:cs="Arial" w:eastAsia="Arial" w:hAnsi="Arial"/>
                <w:sz w:val="14"/>
                <w:szCs w:val="14"/>
                <w:b w:val="1"/>
                <w:bCs w:val="1"/>
                <w:color w:val="auto"/>
                <w:w w:val="98"/>
              </w:rPr>
              <w:t>thousands)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$286,048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$195,164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Cost of services increased by $90.9 million, or 47%, for the nine months ended September 30, 2021 compared to the nine months ended September 30, 2020 primarily due to an increase in medical treatment and pharmacy prescription costs associated with fertility treatments delivered as well as increases in personnel-related costs, including stock-based compensation.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8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$87,020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$49,393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Gross profit increased by $37.6 million for the nine months ended September 30, 2021 compared to the nine months ended September 30, 2020.</w:t>
      </w:r>
    </w:p>
    <w:p>
      <w:pPr>
        <w:spacing w:after="0" w:line="170"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Gross margin increased 310 basis points for the nine months ended September 30, 2021 compared to the nine months ended September 30, 2020, primarily due to favorable new terms with our pharmacy program partners, the net impact of regular contract renewals with our providers as well as continued efficiencies gained across our care management services. Gross margin in the nine months ended September 30, 2020 was also affected by our decision to keep all care management staff in place, despite the pause in treatments caused by COVID-19 restrictions.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$12,483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Sales and marketing expense increased by $2.3 million, or 22%, for the nine months ended September 30, 2021 compared to the nine months ended September 30, 2020. This increase was primarily due to a $2.3 million increase in personnel-related costs (including a $0.9 million increase in stock-based compensation) relating to additional headcount and commissions for sales and marketing functions.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$42,009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$31,976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General and administrative expense increased by $10.0 million, or 31%, for the nine months ended September 30, 2021 compared to the nine months ended September 30, 2020. This increase was primarily due to a $9.3 million increase in personnel-related costs (including a $6.8 million increase in stock-based compensation) as a result of additional headcount for general and administrative functions, a $3.3 million increase in bad debt expense, and a $0.6 million increase in other related general and administrative expenses. These increases were partially offset by a $3.2 million decrease in legal costs compared to the nine months ended September 30, 2020 for a vendor arbitration, which was settled in the fourth quarter of 2020. See Note 7 – Commitments and Contingencies – in the notes to the consolidated financial statements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(dollars in</w:t>
            </w: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Other income, net decreased by $11,000 for the nine months ended September 30, 2021 compared to the nine months ended September 30, 2020, primarily due to a decrease in interest and other income on investments, partially offset by a decrease in interest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$17,856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($116)</w:t>
            </w: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For the nine months ended September 30, 2021, we recorded a benefit for income taxes of $17.9 million primarily due to equity compensation activity that occurred during the period. For the nine months ended September 30, 2020, we recorded a provision for state income taxes of $0.1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As of September 30, 2021, we had $92.2 million of cash and cash equivalents and $22.1 million of marketable securities. Since inception, we have financed our operations primarily through sales of our solutions and the net proceeds we have received from sales of equity securities as further detailed below.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25"/>
          <w:szCs w:val="25"/>
          <w:color w:val="auto"/>
          <w:vertAlign w:val="superscript"/>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3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October 29, 2019, we completed our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We believe that our existing cash and cash equivalents, including the proceeds from our IPO,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Other than the impact on our revenue growth and the related cash flows resulting from the various restrictions on activities due to the COVID-19 pandemic, our sources and uses of cash were not otherwise impacted by the COVID-19 pandemic in the three months ended September 30, 2021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including variants,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If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disruption persists and deepens, we could experience an inability to access additional capital, which could in the future negatively affect our operations. For additional information on the various risks posed by the COVID-19 pandemic, please read Part II, Item 1A. Risk Factors included in this Quarterly Report on Form 10-Q.</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2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June 2018, we entered into an agreement with Silicon Valley Bank to replace our then-outstanding term loan with a revolving line of credit of up to $15.0 million, which was amended in April 2019, January 2020, June 2020, and February 2021. The line of credit matured on June 8, 2021.</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operations for the periods presented:</w:t>
      </w:r>
    </w:p>
    <w:p>
      <w:pPr>
        <w:spacing w:after="0" w:line="176"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Nine Months Ended</w:t>
      </w:r>
    </w:p>
    <w:p>
      <w:pPr>
        <w:ind w:left="7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5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128"/>
        </w:trPr>
        <w:tc>
          <w:tcPr>
            <w:tcW w:w="5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5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(51,918)</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r>
      <w:tr>
        <w:trPr>
          <w:trHeight w:val="210"/>
        </w:trPr>
        <w:tc>
          <w:tcPr>
            <w:tcW w:w="5160" w:type="dxa"/>
            <w:vAlign w:val="bottom"/>
          </w:tcPr>
          <w:p>
            <w:pPr>
              <w:ind w:left="100"/>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(26,417)</w:t>
            </w:r>
          </w:p>
        </w:tc>
      </w:tr>
      <w:tr>
        <w:trPr>
          <w:trHeight w:val="20"/>
        </w:trPr>
        <w:tc>
          <w:tcPr>
            <w:tcW w:w="5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Net cash provided by operating activities was $17.2 million for the nine months ended September 30, 2021, primarily consisting of net income of $50.7 million adjusted for certain non-cash items, which include $18.7 million of stock-based compensation expense, $17.9 million of deferred tax benefit, $7.2 million of bad debt expense, and $1.0 million of depreciation and amortization. Changes in operating assets and liabilities resulted in cash used in operating activities from an increase in accounts receivable of $66.7 million and other noncurrent assets and liabilities of $1.0 million, partially offset by cash provided by operating activities from increases in accrued expenses and other current liabilities of $13.1 million and accounts payable of $11.7 million, and decreases in prepaid expenses and other current assets of $0.4 million. These changes were a result of the impact of revenue growth and our operating results as well as the timing of payments to third parties and collections from customers.</w:t>
      </w:r>
    </w:p>
    <w:p>
      <w:pPr>
        <w:spacing w:after="0" w:line="12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provided by operating activities was $29.7 million for the nine months ended September 30, 2020, primarily consisting of $7.4 million net income adjusted for certain non-cash items, which include $8.7 million of stock-based compensation expense, $3.9 million of bad debt expense, $1.4 million of depreciation and amortization. Changes in operating assets and liabilities resulted in cash used in operating activities from an increase in accounts receivable of $35.0 million, more than offset by cash provided by operating activities from increases in accounts payable of $23.7 million and accrued expenses and other current liabilities of $15.0 million, and decreases in prepaid expenses and other current assets of $3.6 million and other noncurrent assets and liabilities of $0.7 million. These changes are a result of the impact of revenue growth and our operating results as well as the timing of payments to third parties and collections from clients.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Net cash provided by investing activities was $15.1 million for the nine months ended September 30, 2021, which primarily consisted of net proceeds of $16.6 million from marketable securities. Net cash used in investing activities was $51.9 million for the nine months ended September 30, 2020, which primarily consisted of net investments of $51.0 million in marketable securities. The remainder of the activity for both the nine months ended September 30, 2021 and September 30, 2020 consisted of purchases of computers, software, including capitalized software development costs, and leasehold improvements, including leasehold improvements associated with the buildout of our new corporate office which was occupied in February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financing activities was $10.4 million for the nine months ended September 30, 2021, consisting of payments of $13.1 million for employee taxes related to equity awards, partially offset by $1.7 million in proceeds from stock option exercises and $1.0 million in proceeds from contributions to our employee stock purchase plan.</w:t>
      </w:r>
    </w:p>
    <w:p>
      <w:pPr>
        <w:spacing w:after="0" w:line="95"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Net cash used in financing activities was $4.2 million for the nine months ended September 30, 2020, consisting of payments of $0.9 million for IPO costs, payments of $6.4 million for employee taxes related to equity awards, partially offset by $2.1 million in proceeds from stock option exercises and $1.1 million in proceeds from employee stock purchase plan.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Other than changes which occur in the ordinary course of business, as of September 30, 2021, there were no material changes to the contractual obligations reported in our Annual Report on Form 10-K for the year ended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September 30, 2021 and December 31, 2020, we did not have any off-balance sheet arrangements.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consolidated financial statements will be affected.</w:t>
      </w:r>
    </w:p>
    <w:p>
      <w:pPr>
        <w:spacing w:after="0" w:line="14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as well as Note 1 – Business and Basis of Presentation and Note 2 – Significant Accounting Policies in the notes to the consolidated financial statements included in Part I, Item 1, of this Quarterly Report on Form 10-Q. There have been no material changes to the Company’s critical accounting policies and estimates since our Annual Report on Form 10-K.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For a full discussion of recently adopted accounting pronouncements, see Note 2 – Significant Accounting Policies, to the consolidated financial statements included in Part 1, Item 1 of this Quarterly Report on Form 10-Q.</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Prior to December 31, 2020, we were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elected to use the extended transition period under the JOBS Act until the earlier of the date we (1) were no longer an emerging growth company or (2) affirmatively and irrevocably opted out of the extended transition period provided in the JOBS Act. Based on the market value of our common stock held by non-affiliates as of June 30, 2020, we ceased to qualify as an emerging growth company as of December 31, 2020. As a result, the Company no longer was able to use the extended transition period for complying with new or revised accounting standards available to emerging growth companies and was required to adopt new or revised accounting standards as of the effective dates for public companies. Refer to Note 2 –Significant Accounting Policies in Part I, Item 1 of this Quarterly Report on Form 10-Q for a discussion of new accounting pronouncements adopted in the fourth quarter of 2020 with an effective date of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2021, we had cash and cash equivalents of $92.2 million and marketable securities of $22.1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the evaluation of our disclosure controls and procedures, our principal executive officer and principal financial officer concluded that, as of September 30, 2021, our disclosure controls and procedures were effective at the reasonable assurance level.</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quarter ended September 30,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See Part I, Item 1 “Financial Statements (Unaudited) — Note 7 — Commitments and Contingencies — Arbitration/Litigation.”</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all of the information in this Quarterly Report on Form 10-Q, including the section titled “Cautionary Note Regarding Forward-Looking Statements” and Part I, Item 2. “Management’s Discussion and Analysis of Financial Condition and Results of Operation” and our consolidated financial statements and the accompanying notes included elsewhere in this Quarterly Report on Form 10-Q. The risks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COVID-19 pandemic, including variants, has had and is expected to continue to have, and similar health epidemics could in the future have, an adverse impact on our business, operations, and the markets and communities in which we and our clients, members and providers operate.</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business and operations have been adversely affected by the COVID-19 pandemic, which has impacted the markets and communities in which we and our clients, members and providers operate. Since December 2019, when COVID-19 was first reported, the virus has spread to countries worldwide, including the United States and more specifically, New York, New York, where our primary office is located.</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ongoing COVID-19 pandemic, including variants, has adversely impacted, and may continue to adversely impact, many aspects of our business. Our revenue growth for the three months ended September 30, 2021 and 2020 were negatively impacted by COVID-19 and our revenue growth in future periods may continue to be adversely impacted by COVID-19. Our providers have and may in the future delay new fertility cycles because they operate in areas acutely affected by the COVID-19 pandemic, on account of executive orders to postpone non-emergent surgeries or other medical treatments, or in order to conserve medical resources for non-fertility related medical treatments. Many of our members live in communities that have been acutely affected by the COVID-19 pandemic and have delayed and may not want to continue or begin new fertility cycles during the pandemic. Emerging research and the lack of consumer information on the impact of COVID-19 vaccines on pregnancy may also affect member behavior and utilization. Furthermore, as certain of our potential clients experience downturns or uncertainty in their own business operations and revenue because of the economic effects resulting from the spread of COVID-19, they have and may continue to decrease their spending on health benefits and delay or cancel implementation of fertility benefits. Each of these factors could affect member behavior, our utilization rates and the number of members enrolled in our clients’ benefit plans.</w:t>
      </w:r>
    </w:p>
    <w:p>
      <w:pPr>
        <w:spacing w:after="0" w:line="17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response to the COVID-19 pandemic, many state, local, and foreign governments have put in place, and continue to enforce in whole or in part, and may at any time choose to fully reinstate,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or postponement of events, among other effects that could negatively impact productivity and disrupt our operations and those of our clients, members and providers.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light of the uncertainty and rapidly evolving situation relating to the spread of COVID-19 and in compliance with shelter-in-place orders and other government executive orders directing that all non-essential businesses close their physical operations, we implemented a work-from-home policy for all of our employees in March 2020. We have recently re-opened our corporate offices to employees on a hybrid basis, while implementing additional safety measures and protocols.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partially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longer time periods to complete implementation of new clients, longer time to respond to members, extended timelines for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9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 and may impact our ability to comply with the financial covenant relating to revenue targets in our loan agreement with Silicon Valley Bank if a material economic downturn results in substantially lower revenue than expected under our annual financial projections.</w:t>
      </w:r>
    </w:p>
    <w:p>
      <w:pPr>
        <w:spacing w:after="0" w:line="18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global impact of COVID-19 continues to rapidly evolve, and we will continue to monitor the situation closely. The ultimate impact of the COVID-19 pandemic or a similar health epidemic is highly uncertain and subject to change; and will depend on numerous evolving factors that we may not be able to accurately predict, including: the duration, scope, severity, and any resurgences of the COVID-19 pandemic; the effectiveness of vaccine rollout plans, including any mandates; the public’s perception of the safety of the vaccines and their willingness to take the vaccines; the existence and prevalence of new variants of the virus; the continued impact on worldwide macroeconomic conditions, including interest rates, employment rate,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those over financial reporting, as a result of changes in working environments for our employees and business partners.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provided and may continue to provide guidance about our business and future operating results. On November 4, 2021, we issued guidance for the fourth quarter of 2021 and full year 2021.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how long it will take both clinics and members to return to normal practice volumes and behavior, which are inherently difficult to predict. This guidance, which consists of forward-looking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statements, is qualified by, and subject to, such assumptions, estimates and expectations as of the date such guidance is given and may be revised at a later time, solely in our discretion, as we learn more information.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economic conditions or member behavior,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financial market conditions and member behavior caused by the COVID-19 pandemic, and which could adversely affect our business and future operating results. There are no comparable recent events that provide insights as to the probable effect of the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6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6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failure of our platform to continue to maintain market acceptance, which would harm our business, financial condition and results of operations.</w:t>
      </w:r>
    </w:p>
    <w:p>
      <w:pPr>
        <w:spacing w:after="0" w:line="170"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73% of our clients have now launched this solution, including approximately 84% of the clients we signed in 2020.</w:t>
      </w:r>
    </w:p>
    <w:p>
      <w:pPr>
        <w:spacing w:after="0" w:line="192"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117" w:lineRule="exact"/>
        <w:rPr>
          <w:rFonts w:ascii="Arial" w:cs="Arial" w:eastAsia="Arial" w:hAnsi="Arial"/>
          <w:sz w:val="18"/>
          <w:szCs w:val="18"/>
          <w:color w:val="auto"/>
        </w:rPr>
      </w:pPr>
    </w:p>
    <w:p>
      <w:pPr>
        <w:ind w:left="720" w:right="63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healthcare laws, regulations or the enforcement of such laws and regulations, or trends;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3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currently serve over 180 employers with at least 1,000 covered lives in the United States across more than 30 industries. For the nine months ended September 30, 2021, two clients accounted for 18% and 15%, or a combined 33%, of our total revenue. No other clients accounted for more than 10% for the nine months ended September 30, 2021. For the nine months ended September 30, 2020, two clients accounted for 18% and 17% of revenue, or a combined 35% of our total revenue.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Clients could also renegotiate pricing terms at the time of renewal, which could have a negative impact on our revenue.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do not control or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or the worsening thereof, including the COVID-19 pandemic; employers no longer offering comprehensive health coverage or offering alternative solutions such as coverage on a voluntary, employee-funded basis; labor shortages at our clinics; federal and state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It is also difficult for us to predict the level or mix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these risks successfully, our operating and financial results could differ materially from our expectations, and our business could suffer.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experienced net losses from 2015 to 2019. Our net loss from continuing operations was $8.6 million and $5.1 million for the years ended December 31, 2019 and 2018, respectively. While we have experienced significant revenue growth since 2016, achieved profitability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84"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 care system at the state level are regularly introduced, such as in New York and California. At the federal level, President Biden and Congress may consider other legislation and/or executive orders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in this matter, and issued its decision in June 2021, ruling that the plaintiffs lacked standing to challenge the individual mandate provision, thus leaving the ACA in effect without ruling on the constitutionality of the individual mandate.</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January 28, 2021, President Biden issued an Executive Order that iterates the policy of the Administration to protect and strengthen the ACA, making high-quality healthcare accessible and affordable to all Americans. The Executive Order directs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Despite the implementation of security measures, including steps designed to secure our technology infrastructure and sensitive data, we can provide no assurance that our current technology system or any updates or upgrades thereto, the current or future technology systems of our provider clinics, specialty pharmacies or other downstream vendors, are fully protected against malicious intrusion, malware, computer viruses, unauthorized access, natural disasters, terrorism, war, telecommunication and electrical failures, information or data theft or other similar risks.</w:t>
      </w:r>
    </w:p>
    <w:p>
      <w:pPr>
        <w:spacing w:after="0" w:line="16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experienced and expect to continue to experience actual and attempted cyber-attacks of our IT networks,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Regulation—We operate in a highly regulated industry and must comply with a significant number of complex and evolving requirements—Data Protection and Breaches.”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marketing efforts depend significantly on our ability to receive positive references from our existing clients.</w:t>
      </w:r>
    </w:p>
    <w:p>
      <w:pPr>
        <w:spacing w:after="0" w:line="248"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our clients and members with client support that meets their needs, including through dedicated PCAs;</w:t>
      </w:r>
    </w:p>
    <w:p>
      <w:pPr>
        <w:spacing w:after="0" w:line="248" w:lineRule="exact"/>
        <w:rPr>
          <w:rFonts w:ascii="Arial" w:cs="Arial" w:eastAsia="Arial" w:hAnsi="Arial"/>
          <w:sz w:val="16"/>
          <w:szCs w:val="16"/>
          <w:color w:val="auto"/>
        </w:rPr>
      </w:pPr>
    </w:p>
    <w:p>
      <w:pPr>
        <w:ind w:left="720" w:right="51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left="60" w:right="259" w:firstLine="324"/>
        <w:spacing w:after="0" w:line="287" w:lineRule="auto"/>
        <w:rPr>
          <w:sz w:val="20"/>
          <w:szCs w:val="20"/>
          <w:color w:val="auto"/>
        </w:rPr>
      </w:pPr>
      <w:r>
        <w:rPr>
          <w:rFonts w:ascii="Arial" w:cs="Arial" w:eastAsia="Arial" w:hAnsi="Arial"/>
          <w:sz w:val="16"/>
          <w:szCs w:val="16"/>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w:t>
      </w:r>
    </w:p>
    <w:p>
      <w:pPr>
        <w:spacing w:after="0" w:line="2" w:lineRule="exact"/>
        <w:rPr>
          <w:sz w:val="20"/>
          <w:szCs w:val="20"/>
          <w:color w:val="auto"/>
        </w:rPr>
      </w:pPr>
    </w:p>
    <w:p>
      <w:pPr>
        <w:ind w:left="60" w:right="459"/>
        <w:spacing w:after="0" w:line="260" w:lineRule="auto"/>
        <w:rPr>
          <w:sz w:val="20"/>
          <w:szCs w:val="20"/>
          <w:color w:val="auto"/>
        </w:rPr>
      </w:pPr>
      <w:r>
        <w:rPr>
          <w:rFonts w:ascii="Arial" w:cs="Arial" w:eastAsia="Arial" w:hAnsi="Arial"/>
          <w:sz w:val="18"/>
          <w:szCs w:val="18"/>
          <w:color w:val="auto"/>
        </w:rPr>
        <w:t>You should not rely on our revenue for any prior quarterly or annual periods as any indication of our future revenue or revenue growth.</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98" w:lineRule="exact"/>
        <w:rPr>
          <w:rFonts w:ascii="Arial" w:cs="Arial" w:eastAsia="Arial" w:hAnsi="Arial"/>
          <w:sz w:val="18"/>
          <w:szCs w:val="18"/>
          <w:color w:val="auto"/>
        </w:rPr>
      </w:pPr>
    </w:p>
    <w:p>
      <w:pPr>
        <w:ind w:left="720" w:right="23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9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Reductions in employee benefits spending or material defaults by members on their cost share due to unfavorable conditions in our industry or the United States economy could limit our ability to grow our business and negatively affect our results of operations.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Unfavorable economic conditions could result in the cancellation by certain clients, a reduction in their number of employees or material defaults by members on their cost share, particularly if they lose their employer coverage and do not replace it with a health benefit plan that provides fertility coverage. Unfavorable changes in our industry or in the United States economy could have a negative effect on our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or the worsening thereof, including the COVID-19 pandemic, warfare and terrorist attacks on the United States, could cause a decrease in business investments, including spending on employee benefits, and negatively affect the growth of our business.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business experiences seasonality, which may cause fluctuations in our sales and results of operations.</w:t>
      </w:r>
    </w:p>
    <w:p>
      <w:pPr>
        <w:spacing w:after="0" w:line="237"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these providers do business with us, and may change the competitive landscape. Such organizations or groups of health 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 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6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 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4"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and/or regulatory action, and otherwise make our operations vulnerable if we fail to adequately monitor their performance or if they fail to meet their contractual obligations to us or to comply with applicable laws or regulations.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network of specialty pharmacies, our business, financial condition and results of operations could suffer.</w:t>
      </w:r>
    </w:p>
    <w:p>
      <w:pPr>
        <w:spacing w:after="0" w:line="103"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could refuse to contract, demand higher drug pricing or take other actions that could result in higher medical costs or less attractive services for our members. We do not control the pricing strategies of our specialty pharmacy partners, each of whom may be motivated by independent considerations and drivers that are outside our control and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the use of Progyny Rx may decline due to the inability to timely deliver prescription or offer competitive drug pricing to members, which could cause our business, financial condition and results of operations to suffer.</w:t>
      </w:r>
    </w:p>
    <w:p>
      <w:pPr>
        <w:spacing w:after="0" w:line="11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7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and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alternative treatment options, and negotiated rates among industry participants —impact the list prices for medications. Our ability to obtain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15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15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legal and regulatory requirements.</w:t>
      </w:r>
    </w:p>
    <w:p>
      <w:pPr>
        <w:spacing w:after="0" w:line="103"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01" w:lineRule="exact"/>
        <w:rPr>
          <w:sz w:val="20"/>
          <w:szCs w:val="20"/>
          <w:color w:val="auto"/>
        </w:rPr>
      </w:pPr>
    </w:p>
    <w:p>
      <w:pPr>
        <w:jc w:val="both"/>
        <w:ind w:left="1040" w:right="79" w:hanging="315"/>
        <w:spacing w:after="0" w:line="286"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acting as a third-party administrator, or 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86"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82"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00" w:lineRule="exact"/>
        <w:rPr>
          <w:sz w:val="20"/>
          <w:szCs w:val="20"/>
          <w:color w:val="auto"/>
        </w:rPr>
      </w:pPr>
    </w:p>
    <w:p>
      <w:pPr>
        <w:jc w:val="both"/>
        <w:ind w:left="1040" w:right="79" w:hanging="315"/>
        <w:spacing w:after="0" w:line="296"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There are numerous federal and state laws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40" w:right="79"/>
        <w:spacing w:after="0" w:line="269" w:lineRule="auto"/>
        <w:rPr>
          <w:sz w:val="20"/>
          <w:szCs w:val="20"/>
          <w:color w:val="auto"/>
        </w:rPr>
      </w:pPr>
      <w:r>
        <w:rPr>
          <w:rFonts w:ascii="Arial" w:cs="Arial" w:eastAsia="Arial" w:hAnsi="Arial"/>
          <w:sz w:val="17"/>
          <w:szCs w:val="17"/>
          <w:color w:val="auto"/>
        </w:rPr>
        <w:t>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01" w:lineRule="exact"/>
        <w:rPr>
          <w:sz w:val="20"/>
          <w:szCs w:val="20"/>
          <w:color w:val="auto"/>
        </w:rPr>
      </w:pPr>
    </w:p>
    <w:p>
      <w:pPr>
        <w:jc w:val="both"/>
        <w:ind w:left="1020" w:right="59"/>
        <w:spacing w:after="0" w:line="284" w:lineRule="auto"/>
        <w:rPr>
          <w:sz w:val="20"/>
          <w:szCs w:val="20"/>
          <w:color w:val="auto"/>
        </w:rPr>
      </w:pPr>
      <w:r>
        <w:rPr>
          <w:rFonts w:ascii="Arial" w:cs="Arial" w:eastAsia="Arial" w:hAnsi="Arial"/>
          <w:sz w:val="16"/>
          <w:szCs w:val="16"/>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87" w:lineRule="exact"/>
        <w:rPr>
          <w:sz w:val="20"/>
          <w:szCs w:val="20"/>
          <w:color w:val="auto"/>
        </w:rPr>
      </w:pPr>
    </w:p>
    <w:p>
      <w:pPr>
        <w:jc w:val="both"/>
        <w:ind w:left="1040" w:right="79" w:hanging="315"/>
        <w:spacing w:after="0" w:line="26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85" w:lineRule="exact"/>
        <w:rPr>
          <w:sz w:val="20"/>
          <w:szCs w:val="20"/>
          <w:color w:val="auto"/>
        </w:rPr>
      </w:pPr>
    </w:p>
    <w:p>
      <w:pPr>
        <w:jc w:val="both"/>
        <w:ind w:left="1020" w:right="59"/>
        <w:spacing w:after="0" w:line="296" w:lineRule="auto"/>
        <w:rPr>
          <w:sz w:val="20"/>
          <w:szCs w:val="20"/>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59"/>
        <w:spacing w:after="0" w:line="286" w:lineRule="auto"/>
        <w:rPr>
          <w:sz w:val="20"/>
          <w:szCs w:val="20"/>
          <w:color w:val="auto"/>
        </w:rPr>
      </w:pPr>
      <w:r>
        <w:rPr>
          <w:rFonts w:ascii="Arial" w:cs="Arial" w:eastAsia="Arial" w:hAnsi="Arial"/>
          <w:sz w:val="16"/>
          <w:szCs w:val="16"/>
          <w:color w:val="auto"/>
        </w:rPr>
        <w:t>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86" w:lineRule="exact"/>
        <w:rPr>
          <w:sz w:val="20"/>
          <w:szCs w:val="20"/>
          <w:color w:val="auto"/>
        </w:rPr>
      </w:pPr>
    </w:p>
    <w:p>
      <w:pPr>
        <w:jc w:val="both"/>
        <w:ind w:left="1040" w:right="79" w:hanging="315"/>
        <w:spacing w:after="0" w:line="269"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Data Protection and Breaches</w:t>
      </w:r>
      <w:r>
        <w:rPr>
          <w:rFonts w:ascii="Arial" w:cs="Arial" w:eastAsia="Arial" w:hAnsi="Arial"/>
          <w:sz w:val="17"/>
          <w:szCs w:val="17"/>
          <w:color w:val="auto"/>
        </w:rPr>
        <w:t>. In recent years, there have been a number of well-publicized data breaches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5"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1" w:lineRule="exact"/>
        <w:rPr>
          <w:sz w:val="20"/>
          <w:szCs w:val="20"/>
          <w:color w:val="auto"/>
        </w:rPr>
      </w:pPr>
    </w:p>
    <w:p>
      <w:pPr>
        <w:jc w:val="both"/>
        <w:ind w:left="1020" w:right="59"/>
        <w:spacing w:after="0" w:line="285"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020" w:right="59"/>
        <w:spacing w:after="0" w:line="267" w:lineRule="auto"/>
        <w:rPr>
          <w:sz w:val="20"/>
          <w:szCs w:val="20"/>
          <w:color w:val="auto"/>
        </w:rPr>
      </w:pPr>
      <w:r>
        <w:rPr>
          <w:rFonts w:ascii="Arial" w:cs="Arial" w:eastAsia="Arial" w:hAnsi="Arial"/>
          <w:sz w:val="17"/>
          <w:szCs w:val="17"/>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10" w:lineRule="exact"/>
        <w:rPr>
          <w:sz w:val="20"/>
          <w:szCs w:val="20"/>
          <w:color w:val="auto"/>
        </w:rPr>
      </w:pPr>
    </w:p>
    <w:p>
      <w:pPr>
        <w:jc w:val="both"/>
        <w:ind w:left="1040" w:right="79" w:hanging="315"/>
        <w:spacing w:after="0" w:line="287"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2" w:lineRule="exact"/>
        <w:rPr>
          <w:sz w:val="20"/>
          <w:szCs w:val="20"/>
          <w:color w:val="auto"/>
        </w:rPr>
      </w:pPr>
    </w:p>
    <w:p>
      <w:pPr>
        <w:jc w:val="both"/>
        <w:ind w:left="1020" w:right="59"/>
        <w:spacing w:after="0" w:line="272" w:lineRule="auto"/>
        <w:rPr>
          <w:sz w:val="20"/>
          <w:szCs w:val="20"/>
          <w:color w:val="auto"/>
        </w:rPr>
      </w:pPr>
      <w:r>
        <w:rPr>
          <w:rFonts w:ascii="Arial" w:cs="Arial" w:eastAsia="Arial" w:hAnsi="Arial"/>
          <w:sz w:val="17"/>
          <w:szCs w:val="17"/>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sz w:val="20"/>
          <w:szCs w:val="20"/>
          <w:color w:val="auto"/>
        </w:rPr>
      </w:pPr>
    </w:p>
    <w:p>
      <w:pPr>
        <w:jc w:val="both"/>
        <w:ind w:left="1040" w:right="79" w:hanging="315"/>
        <w:spacing w:after="0" w:line="290"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65" w:lineRule="exact"/>
        <w:rPr>
          <w:sz w:val="20"/>
          <w:szCs w:val="20"/>
          <w:color w:val="auto"/>
        </w:rPr>
      </w:pPr>
    </w:p>
    <w:p>
      <w:pPr>
        <w:jc w:val="both"/>
        <w:ind w:left="1020" w:right="59"/>
        <w:spacing w:after="0" w:line="293" w:lineRule="auto"/>
        <w:rPr>
          <w:sz w:val="20"/>
          <w:szCs w:val="20"/>
          <w:color w:val="auto"/>
        </w:rPr>
      </w:pPr>
      <w:r>
        <w:rPr>
          <w:rFonts w:ascii="Arial" w:cs="Arial" w:eastAsia="Arial" w:hAnsi="Arial"/>
          <w:sz w:val="16"/>
          <w:szCs w:val="16"/>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59"/>
        <w:spacing w:after="0" w:line="254" w:lineRule="auto"/>
        <w:rPr>
          <w:sz w:val="20"/>
          <w:szCs w:val="20"/>
          <w:color w:val="auto"/>
        </w:rPr>
      </w:pPr>
      <w:r>
        <w:rPr>
          <w:rFonts w:ascii="Arial" w:cs="Arial" w:eastAsia="Arial" w:hAnsi="Arial"/>
          <w:sz w:val="18"/>
          <w:szCs w:val="18"/>
          <w:color w:val="auto"/>
        </w:rPr>
        <w:t>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95" w:lineRule="exact"/>
        <w:rPr>
          <w:sz w:val="20"/>
          <w:szCs w:val="20"/>
          <w:color w:val="auto"/>
        </w:rPr>
      </w:pPr>
    </w:p>
    <w:p>
      <w:pPr>
        <w:jc w:val="both"/>
        <w:ind w:left="1040" w:right="79" w:hanging="315"/>
        <w:spacing w:after="0" w:line="267"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 Corporate Practice and Fee-Splitting Prohibitions. </w:t>
      </w:r>
      <w:r>
        <w:rPr>
          <w:rFonts w:ascii="Arial" w:cs="Arial" w:eastAsia="Arial" w:hAnsi="Arial"/>
          <w:sz w:val="17"/>
          <w:szCs w:val="17"/>
          <w:color w:val="auto"/>
        </w:rPr>
        <w:t>There is a risk that regulatory authorities in some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may find that our 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Although we believe all of our arrangements with our network providers are in compliance with such laws,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of medicine,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8" w:lineRule="exact"/>
        <w:rPr>
          <w:rFonts w:ascii="Arial" w:cs="Arial" w:eastAsia="Arial" w:hAnsi="Arial"/>
          <w:sz w:val="17"/>
          <w:szCs w:val="17"/>
          <w:color w:val="auto"/>
        </w:rPr>
      </w:pPr>
    </w:p>
    <w:p>
      <w:pPr>
        <w:jc w:val="both"/>
        <w:ind w:left="1040" w:right="79" w:hanging="315"/>
        <w:spacing w:after="0" w:line="283"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aspects of employee health plans, 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w:t>
      </w:r>
    </w:p>
    <w:p>
      <w:pPr>
        <w:jc w:val="both"/>
        <w:ind w:left="1040" w:right="79"/>
        <w:spacing w:after="0" w:line="273" w:lineRule="auto"/>
        <w:rPr>
          <w:sz w:val="20"/>
          <w:szCs w:val="20"/>
          <w:color w:val="auto"/>
        </w:rPr>
      </w:pPr>
      <w:r>
        <w:rPr>
          <w:rFonts w:ascii="Arial" w:cs="Arial" w:eastAsia="Arial" w:hAnsi="Arial"/>
          <w:sz w:val="17"/>
          <w:szCs w:val="17"/>
          <w:color w:val="auto"/>
        </w:rPr>
        <w:t xml:space="preserve">the DOL, including certain reporting requirements for direct and indirect compensation received by plan service providers Separately, although ERISA generally preempts state laws that relate to ERISA plans, the recent Supreme Court ruling in </w:t>
      </w:r>
      <w:r>
        <w:rPr>
          <w:rFonts w:ascii="Arial" w:cs="Arial" w:eastAsia="Arial" w:hAnsi="Arial"/>
          <w:sz w:val="17"/>
          <w:szCs w:val="17"/>
          <w:i w:val="1"/>
          <w:iCs w:val="1"/>
          <w:color w:val="auto"/>
        </w:rPr>
        <w:t>Rutledge v. Pharm. Care Mgmt. Ass’n</w:t>
      </w:r>
      <w:r>
        <w:rPr>
          <w:rFonts w:ascii="Arial" w:cs="Arial" w:eastAsia="Arial" w:hAnsi="Arial"/>
          <w:sz w:val="17"/>
          <w:szCs w:val="17"/>
          <w:color w:val="auto"/>
        </w:rPr>
        <w:t xml:space="preserve"> established that ERISA does not preempt all state laws imposing transparency or other requirements on PBMs.</w:t>
      </w:r>
    </w:p>
    <w:p>
      <w:pPr>
        <w:spacing w:after="0" w:line="176" w:lineRule="exact"/>
        <w:rPr>
          <w:sz w:val="20"/>
          <w:szCs w:val="20"/>
          <w:color w:val="auto"/>
        </w:rPr>
      </w:pPr>
    </w:p>
    <w:p>
      <w:pPr>
        <w:jc w:val="both"/>
        <w:ind w:left="1040" w:right="79" w:hanging="315"/>
        <w:spacing w:after="0" w:line="293"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40" w:right="79"/>
        <w:spacing w:after="0" w:line="293" w:lineRule="auto"/>
        <w:rPr>
          <w:sz w:val="20"/>
          <w:szCs w:val="20"/>
          <w:color w:val="auto"/>
        </w:rPr>
      </w:pPr>
      <w:r>
        <w:rPr>
          <w:rFonts w:ascii="Arial" w:cs="Arial" w:eastAsia="Arial" w:hAnsi="Arial"/>
          <w:sz w:val="16"/>
          <w:szCs w:val="16"/>
          <w:color w:val="auto"/>
        </w:rPr>
        <w:t>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64" w:lineRule="exact"/>
        <w:rPr>
          <w:sz w:val="20"/>
          <w:szCs w:val="20"/>
          <w:color w:val="auto"/>
        </w:rPr>
      </w:pPr>
    </w:p>
    <w:p>
      <w:pPr>
        <w:jc w:val="both"/>
        <w:ind w:left="1040" w:right="79" w:hanging="315"/>
        <w:spacing w:after="0" w:line="285"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68" w:lineRule="exact"/>
        <w:rPr>
          <w:rFonts w:ascii="Arial" w:cs="Arial" w:eastAsia="Arial" w:hAnsi="Arial"/>
          <w:sz w:val="16"/>
          <w:szCs w:val="16"/>
          <w:color w:val="auto"/>
        </w:rPr>
      </w:pPr>
    </w:p>
    <w:p>
      <w:pPr>
        <w:jc w:val="both"/>
        <w:ind w:left="1040" w:right="79" w:hanging="315"/>
        <w:spacing w:after="0" w:line="269"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1" w:lineRule="exact"/>
        <w:rPr>
          <w:rFonts w:ascii="Arial" w:cs="Arial" w:eastAsia="Arial" w:hAnsi="Arial"/>
          <w:sz w:val="17"/>
          <w:szCs w:val="17"/>
          <w:color w:val="auto"/>
        </w:rPr>
      </w:pPr>
    </w:p>
    <w:p>
      <w:pPr>
        <w:jc w:val="both"/>
        <w:ind w:left="1040" w:right="79" w:hanging="315"/>
        <w:spacing w:after="0" w:line="272"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as the overall reimbursement and drug pricing environment for healthcare providers. Since its enactment, there have been judicial, executive and Congressional challenges to certain aspects of the ACA, as well as efforts to repeal or replace certain aspects of the ACA, which may continue in the future. For example, on June 17, 2021, the U.S. Supreme Court dismissed the most recent judicial challenge to the ACA brought by several states without specifically ruling on the constitutionality of the ACA. 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enacted on December 27, 2020, contain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effective December 27, 2021. The CAA will also require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surprise billing laws and the CAA defers to existing state requirements with respect to state-established payment amounts.</w:t>
      </w:r>
    </w:p>
    <w:p>
      <w:pPr>
        <w:spacing w:after="0" w:line="200" w:lineRule="exact"/>
        <w:rPr>
          <w:sz w:val="20"/>
          <w:szCs w:val="20"/>
          <w:color w:val="auto"/>
        </w:rPr>
      </w:pPr>
    </w:p>
    <w:p>
      <w:pPr>
        <w:spacing w:after="0" w:line="20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or on our business and on our relationships with future clients, insurance carriers, and healthcare providers.</w:t>
      </w:r>
    </w:p>
    <w:p>
      <w:pPr>
        <w:spacing w:after="0" w:line="187"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3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industry standards. These requirements may impact our operations and, if not followed, could result in fines, penalties and other liabilities and adverse publicity and injury to our reputation.</w:t>
      </w:r>
    </w:p>
    <w:p>
      <w:pPr>
        <w:spacing w:after="0" w:line="170"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 xml:space="preserve">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Further, the U.S. Supreme Court’s recent decision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Arial" w:cs="Arial" w:eastAsia="Arial" w:hAnsi="Arial"/>
          <w:sz w:val="16"/>
          <w:szCs w:val="16"/>
          <w:i w:val="1"/>
          <w:iCs w:val="1"/>
          <w:color w:val="auto"/>
        </w:rPr>
        <w:t>Rutledge</w:t>
      </w:r>
      <w:r>
        <w:rPr>
          <w:rFonts w:ascii="Arial" w:cs="Arial" w:eastAsia="Arial" w:hAnsi="Arial"/>
          <w:sz w:val="16"/>
          <w:szCs w:val="16"/>
          <w:color w:val="auto"/>
        </w:rPr>
        <w:t xml:space="preserve"> ruling, for example, New York has already reintroduced previously vetoed PBM legislation and Governor Andrew Cuomo has issued an Executive Budget for 2022 that highlights the need for PBM accountability. States have proposed over 100 separate PBM bills in 2021 alone, and at least 12 states have adopted new PBM oversight laws. A number of these proposed laws would require PBMs to submit annual transparency reports or otherwise disclose contractual arrangements with health benefit plans or health insurance issuers, or allow regulators to conduct audits of PBM operations. 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We do not believe our operations are directly subject to such laws (including the recent finalization of regulations under the federal anti-kickback statute directly applicable to PBMs) as the PBM solutions and services we provide are not reimbursed by government healthcare payors.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Accordingly, it is reasonably possible that our business operations and operating results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the Company’s ability to standardize its Progyny Rx PBM products and services across state lines. Further, failure by the Company to comply with these laws or regulations could result in material fines and/or sanctions and could have a material adverse effect on the Company’s operating results and/or cash flows.</w:t>
      </w:r>
    </w:p>
    <w:p>
      <w:pPr>
        <w:spacing w:after="0" w:line="185"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7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As described in Part II, Item 1. “Legal Proceedings” of this Quarterly Report on Form 10-Q, we were subject to a vendor arbitration that was recently settled in December 2020. As part of our settlement and to avoid further costs, we agreed to pay the vendor a total of $5.75 million.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 See Note 7 – Commitments and Contingencies – in the notes to the consolidated financial statements included in Part I, Item 1, of this Quarterly Report on Form 10-Q.</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Changes in our effective tax rate or tax liabilities may have an adverse effect on our results of operations.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be impacted due to several factors, including, but not limited to:</w:t>
      </w:r>
    </w:p>
    <w:p>
      <w:pPr>
        <w:spacing w:after="0" w:line="225" w:lineRule="exact"/>
        <w:rPr>
          <w:sz w:val="20"/>
          <w:szCs w:val="20"/>
          <w:color w:val="auto"/>
        </w:rPr>
      </w:pPr>
    </w:p>
    <w:p>
      <w:pPr>
        <w:ind w:left="720" w:right="1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225"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 and</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discrete impact tax items, including such items resulting from the amount and timing of equity exercises and our share price.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of these developments could have an adverse effect on our results of operations.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As of January 1, 2020, we adopted ASU No. 2016-02, Leases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using the modified retrospective transition method and recorded a right-of-use asset and lease liabilities of $9.5 million and $9.9 million, respectively. In addition, as of January 1, 2020, we also adopted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w:t>
      </w:r>
      <w:r>
        <w:rPr>
          <w:rFonts w:ascii="Arial" w:cs="Arial" w:eastAsia="Arial" w:hAnsi="Arial"/>
          <w:sz w:val="17"/>
          <w:szCs w:val="17"/>
          <w:color w:val="auto"/>
        </w:rPr>
        <w:t>using the modified retrospective transition method, which resulted in a cumulative-effect adjustment to</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deficit of $1.2 million and impacted our methodology for calculating and estimating our allowance for doubtful accounts. See Note 2 – Significant Accounting Policies included in Part I, Item I of this Quarterly Report on Form 10-Q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revenue recognition including accrued receivables and allowance for service changes and cancellations, accrued claims payable, stock-based compensation,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49"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 volume of direct sales into the market by large investors;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including those related to the ongoing COVID-19 pandemic, may also negatively impact the market price of our common stock. Fluctuations in our quarterly operating results and the price of our common stock may be particularly pronounced 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client expansion rates;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ongoing COVID-19 pandemic;</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achieve compliance with Section 404, we perform system and process evaluation and testing of our internal controls over financial reporting to allow management to report on the effectiveness of our internal controls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9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720" w:right="79" w:hanging="319"/>
        <w:spacing w:after="0" w:line="263"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720" w:right="779" w:hanging="319"/>
        <w:spacing w:after="0" w:line="308"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pacing w:after="0" w:line="146" w:lineRule="exact"/>
        <w:rPr>
          <w:rFonts w:ascii="Arial" w:cs="Arial" w:eastAsia="Arial" w:hAnsi="Arial"/>
          <w:sz w:val="17"/>
          <w:szCs w:val="17"/>
          <w:color w:val="auto"/>
        </w:rPr>
      </w:pPr>
    </w:p>
    <w:p>
      <w:pPr>
        <w:ind w:left="720" w:right="37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 and 2/3% of our outstanding shares of voting stock;</w:t>
      </w:r>
    </w:p>
    <w:p>
      <w:pPr>
        <w:spacing w:after="0" w:line="170" w:lineRule="exact"/>
        <w:rPr>
          <w:rFonts w:ascii="Arial" w:cs="Arial" w:eastAsia="Arial" w:hAnsi="Arial"/>
          <w:sz w:val="18"/>
          <w:szCs w:val="18"/>
          <w:color w:val="auto"/>
        </w:rPr>
      </w:pPr>
    </w:p>
    <w:p>
      <w:pPr>
        <w:ind w:left="720" w:right="11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720" w:right="179" w:hanging="319"/>
        <w:spacing w:after="0" w:line="308"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 and 2/3% of our outstanding shares of voting stock to amend our bylaws and certain provisions of our certificate of incorporation.</w:t>
      </w:r>
    </w:p>
    <w:p>
      <w:pPr>
        <w:spacing w:after="0" w:line="14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Settlement of Equity Awards</w:t>
      </w:r>
    </w:p>
    <w:p>
      <w:pPr>
        <w:spacing w:after="0" w:line="229" w:lineRule="exact"/>
        <w:rPr>
          <w:sz w:val="20"/>
          <w:szCs w:val="20"/>
          <w:color w:val="auto"/>
        </w:rPr>
      </w:pPr>
    </w:p>
    <w:p>
      <w:pPr>
        <w:ind w:left="60" w:right="459" w:firstLine="486"/>
        <w:spacing w:after="0" w:line="277" w:lineRule="auto"/>
        <w:rPr>
          <w:sz w:val="20"/>
          <w:szCs w:val="20"/>
          <w:color w:val="auto"/>
        </w:rPr>
      </w:pPr>
      <w:r>
        <w:rPr>
          <w:rFonts w:ascii="Arial" w:cs="Arial" w:eastAsia="Arial" w:hAnsi="Arial"/>
          <w:sz w:val="18"/>
          <w:szCs w:val="18"/>
          <w:color w:val="auto"/>
        </w:rPr>
        <w:t>Our restricted stock units are subject to vesting and the underlying shares of common stock are issued when the restricted stock units vest.</w:t>
      </w:r>
    </w:p>
    <w:p>
      <w:pPr>
        <w:spacing w:after="0" w:line="170" w:lineRule="exact"/>
        <w:rPr>
          <w:sz w:val="20"/>
          <w:szCs w:val="20"/>
          <w:color w:val="auto"/>
        </w:rPr>
      </w:pPr>
    </w:p>
    <w:p>
      <w:pPr>
        <w:jc w:val="both"/>
        <w:ind w:left="60" w:right="159" w:firstLine="486"/>
        <w:spacing w:after="0" w:line="263" w:lineRule="auto"/>
        <w:rPr>
          <w:sz w:val="20"/>
          <w:szCs w:val="20"/>
          <w:color w:val="auto"/>
        </w:rPr>
      </w:pPr>
      <w:r>
        <w:rPr>
          <w:rFonts w:ascii="Arial" w:cs="Arial" w:eastAsia="Arial" w:hAnsi="Arial"/>
          <w:sz w:val="18"/>
          <w:szCs w:val="18"/>
          <w:color w:val="auto"/>
        </w:rPr>
        <w:t>In the third quarter of 2021, we withheld shares through net settlements (where the award holder receives the net of the shares vested, after surrendering a portion of the shares back to the Company for tax withholding) for certain restricted stock units that vested.</w:t>
      </w:r>
    </w:p>
    <w:p>
      <w:pPr>
        <w:spacing w:after="0" w:line="184" w:lineRule="exact"/>
        <w:rPr>
          <w:sz w:val="20"/>
          <w:szCs w:val="20"/>
          <w:color w:val="auto"/>
        </w:rPr>
      </w:pPr>
    </w:p>
    <w:p>
      <w:pPr>
        <w:ind w:left="60" w:right="739" w:firstLine="486"/>
        <w:spacing w:after="0" w:line="342" w:lineRule="auto"/>
        <w:rPr>
          <w:sz w:val="20"/>
          <w:szCs w:val="20"/>
          <w:color w:val="auto"/>
        </w:rPr>
      </w:pPr>
      <w:r>
        <w:rPr>
          <w:rFonts w:ascii="Arial" w:cs="Arial" w:eastAsia="Arial" w:hAnsi="Arial"/>
          <w:sz w:val="16"/>
          <w:szCs w:val="16"/>
          <w:color w:val="auto"/>
        </w:rPr>
        <w:t>The following table provides a summary of shares surrendered back to the Company for tax withholding on restricted stock units that vested under our equity incentive plans in the three months ended September 30, 2021:</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4"/>
        </w:trPr>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Announced Plans</w:t>
            </w:r>
          </w:p>
        </w:tc>
        <w:tc>
          <w:tcPr>
            <w:tcW w:w="140" w:type="dxa"/>
            <w:vAlign w:val="bottom"/>
          </w:tcPr>
          <w:p>
            <w:pPr>
              <w:spacing w:after="0"/>
              <w:rPr>
                <w:sz w:val="12"/>
                <w:szCs w:val="12"/>
                <w:color w:val="auto"/>
              </w:rPr>
            </w:pPr>
          </w:p>
        </w:tc>
        <w:tc>
          <w:tcPr>
            <w:tcW w:w="94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5"/>
        </w:trPr>
        <w:tc>
          <w:tcPr>
            <w:tcW w:w="4100" w:type="dxa"/>
            <w:vAlign w:val="bottom"/>
            <w:gridSpan w:val="2"/>
            <w:vMerge w:val="continue"/>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8"/>
              </w:rPr>
              <w:t xml:space="preserve">Repurchased </w:t>
            </w:r>
            <w:r>
              <w:rPr>
                <w:rFonts w:ascii="Arial" w:cs="Arial" w:eastAsia="Arial" w:hAnsi="Arial"/>
                <w:sz w:val="20"/>
                <w:szCs w:val="20"/>
                <w:b w:val="1"/>
                <w:bCs w:val="1"/>
                <w:color w:val="auto"/>
                <w:w w:val="88"/>
                <w:vertAlign w:val="superscript"/>
              </w:rPr>
              <w:t>(1)</w:t>
            </w:r>
          </w:p>
        </w:tc>
        <w:tc>
          <w:tcPr>
            <w:tcW w:w="16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Paid per Share</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or Programs</w:t>
            </w:r>
          </w:p>
        </w:tc>
        <w:tc>
          <w:tcPr>
            <w:tcW w:w="140" w:type="dxa"/>
            <w:vAlign w:val="bottom"/>
          </w:tcPr>
          <w:p>
            <w:pPr>
              <w:spacing w:after="0"/>
              <w:rPr>
                <w:sz w:val="15"/>
                <w:szCs w:val="15"/>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2021 through July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August 1, 2021 through August 31, 2021</w:t>
            </w:r>
          </w:p>
        </w:tc>
        <w:tc>
          <w:tcPr>
            <w:tcW w:w="106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51.51</w:t>
            </w: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2021 through September 30,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Total shares repurchased</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57.99</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260" w:hanging="210"/>
        <w:spacing w:after="0"/>
        <w:tabs>
          <w:tab w:leader="none" w:pos="260" w:val="left"/>
        </w:tabs>
        <w:numPr>
          <w:ilvl w:val="0"/>
          <w:numId w:val="39"/>
        </w:numPr>
        <w:rPr>
          <w:rFonts w:ascii="Arial" w:cs="Arial" w:eastAsia="Arial" w:hAnsi="Arial"/>
          <w:sz w:val="24"/>
          <w:szCs w:val="24"/>
          <w:color w:val="auto"/>
          <w:vertAlign w:val="superscript"/>
        </w:rPr>
      </w:pPr>
      <w:r>
        <w:rPr>
          <w:rFonts w:ascii="Arial" w:cs="Arial" w:eastAsia="Arial" w:hAnsi="Arial"/>
          <w:sz w:val="16"/>
          <w:szCs w:val="16"/>
          <w:color w:val="auto"/>
        </w:rPr>
        <w:t>Represents shares withheld on net settlements of restricted stock units that vested under our equity incentive plans.</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19"/>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0"/>
                <w:szCs w:val="10"/>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Exhibit</w:t>
            </w:r>
          </w:p>
        </w:tc>
        <w:tc>
          <w:tcPr>
            <w:tcW w:w="17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Filing</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9"/>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40" w:type="dxa"/>
            <w:vAlign w:val="bottom"/>
            <w:tcBorders>
              <w:bottom w:val="single" w:sz="8" w:color="0000EE"/>
            </w:tcBorders>
            <w:gridSpan w:val="9"/>
          </w:tcPr>
          <w:p>
            <w:pPr>
              <w:spacing w:after="0" w:line="169" w:lineRule="exact"/>
              <w:rPr>
                <w:rFonts w:ascii="Arial" w:cs="Arial" w:eastAsia="Arial" w:hAnsi="Arial"/>
                <w:sz w:val="18"/>
                <w:szCs w:val="18"/>
                <w:color w:val="0000EE"/>
                <w:w w:val="85"/>
              </w:rPr>
            </w:pPr>
            <w:hyperlink r:id="rId89">
              <w:r>
                <w:rPr>
                  <w:rFonts w:ascii="Arial" w:cs="Arial" w:eastAsia="Arial" w:hAnsi="Arial"/>
                  <w:sz w:val="18"/>
                  <w:szCs w:val="18"/>
                  <w:color w:val="0000EE"/>
                  <w:w w:val="85"/>
                </w:rPr>
                <w:t>Amended and Restated</w:t>
              </w:r>
            </w:hyperlink>
          </w:p>
        </w:tc>
        <w:tc>
          <w:tcPr>
            <w:tcW w:w="800" w:type="dxa"/>
            <w:vAlign w:val="bottom"/>
            <w:gridSpan w:val="12"/>
          </w:tcPr>
          <w:p>
            <w:pPr>
              <w:spacing w:after="0"/>
              <w:rPr>
                <w:sz w:val="14"/>
                <w:szCs w:val="14"/>
                <w:color w:val="auto"/>
              </w:rPr>
            </w:pPr>
          </w:p>
        </w:tc>
        <w:tc>
          <w:tcPr>
            <w:tcW w:w="660" w:type="dxa"/>
            <w:vAlign w:val="bottom"/>
            <w:gridSpan w:val="2"/>
          </w:tcPr>
          <w:p>
            <w:pPr>
              <w:ind w:left="100"/>
              <w:spacing w:after="0" w:line="169" w:lineRule="exact"/>
              <w:rPr>
                <w:sz w:val="20"/>
                <w:szCs w:val="20"/>
                <w:color w:val="auto"/>
              </w:rPr>
            </w:pPr>
            <w:r>
              <w:rPr>
                <w:rFonts w:ascii="Arial" w:cs="Arial" w:eastAsia="Arial" w:hAnsi="Arial"/>
                <w:sz w:val="18"/>
                <w:szCs w:val="18"/>
                <w:color w:val="auto"/>
              </w:rPr>
              <w:t>8-K</w:t>
            </w: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7"/>
              </w:rPr>
              <w:t>001-39100</w:t>
            </w:r>
          </w:p>
        </w:tc>
        <w:tc>
          <w:tcPr>
            <w:tcW w:w="740" w:type="dxa"/>
            <w:vAlign w:val="bottom"/>
          </w:tcPr>
          <w:p>
            <w:pPr>
              <w:jc w:val="right"/>
              <w:ind w:right="379"/>
              <w:spacing w:after="0" w:line="169" w:lineRule="exact"/>
              <w:rPr>
                <w:sz w:val="20"/>
                <w:szCs w:val="20"/>
                <w:color w:val="auto"/>
              </w:rPr>
            </w:pPr>
            <w:r>
              <w:rPr>
                <w:rFonts w:ascii="Arial" w:cs="Arial" w:eastAsia="Arial" w:hAnsi="Arial"/>
                <w:sz w:val="18"/>
                <w:szCs w:val="18"/>
                <w:color w:val="auto"/>
              </w:rPr>
              <w:t>3.1</w:t>
            </w:r>
          </w:p>
        </w:tc>
        <w:tc>
          <w:tcPr>
            <w:tcW w:w="1780" w:type="dxa"/>
            <w:vAlign w:val="bottom"/>
          </w:tcPr>
          <w:p>
            <w:pPr>
              <w:ind w:left="220"/>
              <w:spacing w:after="0" w:line="169" w:lineRule="exact"/>
              <w:rPr>
                <w:sz w:val="20"/>
                <w:szCs w:val="20"/>
                <w:color w:val="auto"/>
              </w:rPr>
            </w:pPr>
            <w:r>
              <w:rPr>
                <w:rFonts w:ascii="Arial" w:cs="Arial" w:eastAsia="Arial" w:hAnsi="Arial"/>
                <w:sz w:val="18"/>
                <w:szCs w:val="18"/>
                <w:color w:val="auto"/>
              </w:rPr>
              <w:t>10/31/2019</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Certificate of Incorporation of</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Progyny, Inc.</w:t>
              </w:r>
            </w:hyperlink>
          </w:p>
        </w:tc>
        <w:tc>
          <w:tcPr>
            <w:tcW w:w="1200" w:type="dxa"/>
            <w:vAlign w:val="bottom"/>
            <w:tcBorders>
              <w:top w:val="single" w:sz="8" w:color="0000EE"/>
            </w:tcBorders>
            <w:gridSpan w:val="13"/>
          </w:tcPr>
          <w:p>
            <w:pPr>
              <w:spacing w:after="0"/>
              <w:rPr>
                <w:sz w:val="17"/>
                <w:szCs w:val="17"/>
                <w:color w:val="auto"/>
              </w:rPr>
            </w:pPr>
          </w:p>
        </w:tc>
        <w:tc>
          <w:tcPr>
            <w:tcW w:w="3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Amended and Restated By-laws</w:t>
              </w:r>
            </w:hyperlink>
          </w:p>
        </w:tc>
        <w:tc>
          <w:tcPr>
            <w:tcW w:w="140" w:type="dxa"/>
            <w:vAlign w:val="bottom"/>
            <w:gridSpan w:val="2"/>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333-2339653.4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9/27/2019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of Progyny, Inc.</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Form of common stock</w:t>
              </w:r>
            </w:hyperlink>
          </w:p>
        </w:tc>
        <w:tc>
          <w:tcPr>
            <w:tcW w:w="780" w:type="dxa"/>
            <w:vAlign w:val="bottom"/>
            <w:gridSpan w:val="11"/>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333-2339654.1</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certificate</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Form of 2013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333-2339654.2</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Form of 2014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333-2339654.3</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 of 2015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19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Warrant to Purchase Stock</w:t>
              </w:r>
            </w:hyperlink>
          </w:p>
        </w:tc>
        <w:tc>
          <w:tcPr>
            <w:tcW w:w="560" w:type="dxa"/>
            <w:vAlign w:val="bottom"/>
            <w:gridSpan w:val="9"/>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333-2339654.5</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issued to Silicon Valley Bank</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dated October 9, 2013.</w:t>
              </w:r>
            </w:hyperlink>
          </w:p>
        </w:tc>
        <w:tc>
          <w:tcPr>
            <w:tcW w:w="460" w:type="dxa"/>
            <w:vAlign w:val="bottom"/>
            <w:tcBorders>
              <w:top w:val="single" w:sz="8" w:color="0000EE"/>
            </w:tcBorders>
            <w:gridSpan w:val="5"/>
          </w:tcPr>
          <w:p>
            <w:pPr>
              <w:spacing w:after="0"/>
              <w:rPr>
                <w:sz w:val="17"/>
                <w:szCs w:val="17"/>
                <w:color w:val="auto"/>
              </w:rPr>
            </w:pPr>
          </w:p>
        </w:tc>
        <w:tc>
          <w:tcPr>
            <w:tcW w:w="3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Certification of Chief Executive</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Officer pursuant to Exchange</w:t>
              </w:r>
            </w:hyperlink>
          </w:p>
        </w:tc>
        <w:tc>
          <w:tcPr>
            <w:tcW w:w="18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Act Rule 13a-14(a).</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Officer pursuant to Exchange</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Act Rule 13a-14(a).</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Certification of Principal</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Executive Officer pursuant to 18</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U.S.C. Section 1350.</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Officer pursuant to 18 U.S.C.</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Section 1350.</w:t>
              </w:r>
            </w:hyperlink>
          </w:p>
        </w:tc>
        <w:tc>
          <w:tcPr>
            <w:tcW w:w="1480" w:type="dxa"/>
            <w:vAlign w:val="bottom"/>
            <w:gridSpan w:val="1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9"/>
                <w:szCs w:val="19"/>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5"/>
              </w:rPr>
              <w:t>Inline XBRL Instance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Schema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7"/>
              </w:rPr>
              <w:t>Extension Calculation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Definition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Label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3"/>
              </w:rPr>
              <w:t>Extension Presentation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40" w:right="5439" w:hanging="1184"/>
        <w:spacing w:after="0" w:line="277" w:lineRule="auto"/>
        <w:tabs>
          <w:tab w:leader="none" w:pos="12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172"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7"/>
          <w:szCs w:val="17"/>
          <w:color w:val="auto"/>
        </w:rPr>
      </w:pPr>
    </w:p>
    <w:p>
      <w:pPr>
        <w:ind w:left="480" w:hanging="43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480" w:type="dxa"/>
            <w:vAlign w:val="bottom"/>
            <w:gridSpan w:val="2"/>
          </w:tcPr>
          <w:p>
            <w:pPr>
              <w:ind w:left="1340"/>
              <w:spacing w:after="0"/>
              <w:rPr>
                <w:sz w:val="20"/>
                <w:szCs w:val="20"/>
                <w:color w:val="auto"/>
              </w:rPr>
            </w:pPr>
            <w:r>
              <w:rPr>
                <w:rFonts w:ascii="Arial" w:cs="Arial" w:eastAsia="Arial" w:hAnsi="Arial"/>
                <w:sz w:val="18"/>
                <w:szCs w:val="18"/>
                <w:color w:val="auto"/>
              </w:rPr>
              <w:t>Progyny, Inc.</w:t>
            </w:r>
          </w:p>
        </w:tc>
        <w:tc>
          <w:tcPr>
            <w:tcW w:w="330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2480" w:type="dxa"/>
            <w:vAlign w:val="bottom"/>
            <w:gridSpan w:val="2"/>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tc>
        <w:tc>
          <w:tcPr>
            <w:tcW w:w="3300" w:type="dxa"/>
            <w:vAlign w:val="bottom"/>
          </w:tcPr>
          <w:p>
            <w:pPr>
              <w:spacing w:after="0"/>
              <w:rPr>
                <w:sz w:val="20"/>
                <w:szCs w:val="20"/>
                <w:color w:val="auto"/>
              </w:rPr>
            </w:pPr>
          </w:p>
        </w:tc>
      </w:tr>
      <w:tr>
        <w:trPr>
          <w:trHeight w:val="459"/>
        </w:trPr>
        <w:tc>
          <w:tcPr>
            <w:tcW w:w="3120" w:type="dxa"/>
            <w:vAlign w:val="bottom"/>
          </w:tcPr>
          <w:p>
            <w:pPr>
              <w:spacing w:after="0"/>
              <w:rPr>
                <w:sz w:val="20"/>
                <w:szCs w:val="20"/>
                <w:color w:val="auto"/>
              </w:rPr>
            </w:pPr>
            <w:r>
              <w:rPr>
                <w:rFonts w:ascii="Arial" w:cs="Arial" w:eastAsia="Arial" w:hAnsi="Arial"/>
                <w:sz w:val="18"/>
                <w:szCs w:val="18"/>
                <w:color w:val="auto"/>
              </w:rPr>
              <w:t>Date: November 8, 2021</w:t>
            </w:r>
          </w:p>
        </w:tc>
        <w:tc>
          <w:tcPr>
            <w:tcW w:w="248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0"/>
              </w:rPr>
              <w:t>David Schlanger</w:t>
            </w:r>
          </w:p>
        </w:tc>
      </w:tr>
      <w:tr>
        <w:trPr>
          <w:trHeight w:val="216"/>
        </w:trPr>
        <w:tc>
          <w:tcPr>
            <w:tcW w:w="3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00" w:type="dxa"/>
            <w:vAlign w:val="bottom"/>
          </w:tcPr>
          <w:p>
            <w:pPr>
              <w:jc w:val="center"/>
              <w:ind w:right="77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59"/>
        </w:trPr>
        <w:tc>
          <w:tcPr>
            <w:tcW w:w="3120" w:type="dxa"/>
            <w:vAlign w:val="bottom"/>
          </w:tcPr>
          <w:p>
            <w:pPr>
              <w:spacing w:after="0"/>
              <w:rPr>
                <w:sz w:val="20"/>
                <w:szCs w:val="20"/>
                <w:color w:val="auto"/>
              </w:rPr>
            </w:pPr>
            <w:r>
              <w:rPr>
                <w:rFonts w:ascii="Arial" w:cs="Arial" w:eastAsia="Arial" w:hAnsi="Arial"/>
                <w:sz w:val="18"/>
                <w:szCs w:val="18"/>
                <w:color w:val="auto"/>
              </w:rPr>
              <w:t>Date: November 8, 2021</w:t>
            </w:r>
          </w:p>
        </w:tc>
        <w:tc>
          <w:tcPr>
            <w:tcW w:w="248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/s/ Mark Livingston</w:t>
            </w:r>
          </w:p>
        </w:tc>
      </w:tr>
      <w:tr>
        <w:trPr>
          <w:trHeight w:val="224"/>
        </w:trPr>
        <w:tc>
          <w:tcPr>
            <w:tcW w:w="3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6"/>
              </w:rPr>
              <w:t>Mark Livingston</w:t>
            </w:r>
          </w:p>
        </w:tc>
      </w:tr>
    </w:tbl>
    <w:p>
      <w:pPr>
        <w:jc w:val="center"/>
        <w:ind w:left="47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Schlanger,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00" w:right="20" w:hanging="444"/>
        <w:spacing w:after="0" w:line="311" w:lineRule="auto"/>
        <w:tabs>
          <w:tab w:leader="none" w:pos="11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100" w:right="300" w:hanging="444"/>
        <w:spacing w:after="0" w:line="311" w:lineRule="auto"/>
        <w:tabs>
          <w:tab w:leader="none" w:pos="11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100" w:right="160" w:hanging="444"/>
        <w:spacing w:after="0" w:line="263" w:lineRule="auto"/>
        <w:tabs>
          <w:tab w:leader="none" w:pos="1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00" w:right="280" w:hanging="444"/>
        <w:spacing w:after="0" w:line="259" w:lineRule="auto"/>
        <w:tabs>
          <w:tab w:leader="none" w:pos="1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00" w:right="80" w:hanging="444"/>
        <w:spacing w:after="0" w:line="263" w:lineRule="auto"/>
        <w:tabs>
          <w:tab w:leader="none" w:pos="1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100" w:right="460" w:hanging="444"/>
        <w:spacing w:after="0" w:line="277" w:lineRule="auto"/>
        <w:tabs>
          <w:tab w:leader="none" w:pos="1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November 8, 2021</w:t>
            </w:r>
          </w:p>
        </w:tc>
        <w:tc>
          <w:tcPr>
            <w:tcW w:w="2040" w:type="dxa"/>
            <w:vAlign w:val="bottom"/>
          </w:tcPr>
          <w:p>
            <w:pPr>
              <w:ind w:left="170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4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76"/>
        </w:trPr>
        <w:tc>
          <w:tcPr>
            <w:tcW w:w="3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80" w:right="20" w:hanging="424"/>
        <w:spacing w:after="0" w:line="311"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080" w:right="300" w:hanging="424"/>
        <w:spacing w:after="0" w:line="311"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080" w:right="180" w:hanging="424"/>
        <w:spacing w:after="0" w:line="263"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80" w:right="280" w:hanging="424"/>
        <w:spacing w:after="0" w:line="259"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80" w:right="100" w:hanging="424"/>
        <w:spacing w:after="0" w:line="263"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80" w:right="480" w:hanging="424"/>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November 8, 2021</w:t>
            </w:r>
          </w:p>
        </w:tc>
        <w:tc>
          <w:tcPr>
            <w:tcW w:w="2000" w:type="dxa"/>
            <w:vAlign w:val="bottom"/>
          </w:tcPr>
          <w:p>
            <w:pPr>
              <w:ind w:left="17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Livingston</w:t>
            </w:r>
          </w:p>
        </w:tc>
      </w:tr>
      <w:tr>
        <w:trPr>
          <w:trHeight w:val="222"/>
        </w:trPr>
        <w:tc>
          <w:tcPr>
            <w:tcW w:w="34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Mark Livingston</w:t>
            </w:r>
          </w:p>
        </w:tc>
      </w:tr>
      <w:tr>
        <w:trPr>
          <w:trHeight w:val="216"/>
        </w:trPr>
        <w:tc>
          <w:tcPr>
            <w:tcW w:w="3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34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September 30,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November 8, 2021</w:t>
            </w:r>
          </w:p>
        </w:tc>
        <w:tc>
          <w:tcPr>
            <w:tcW w:w="1800" w:type="dxa"/>
            <w:vAlign w:val="bottom"/>
          </w:tcPr>
          <w:p>
            <w:pPr>
              <w:ind w:left="15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776"/>
        </w:trPr>
        <w:tc>
          <w:tcPr>
            <w:tcW w:w="3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September 30,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November 8, 2021</w:t>
            </w:r>
          </w:p>
        </w:tc>
        <w:tc>
          <w:tcPr>
            <w:tcW w:w="1780" w:type="dxa"/>
            <w:vAlign w:val="bottom"/>
          </w:tcPr>
          <w:p>
            <w:pPr>
              <w:ind w:left="1500"/>
              <w:spacing w:after="0"/>
              <w:rPr>
                <w:sz w:val="20"/>
                <w:szCs w:val="20"/>
                <w:color w:val="auto"/>
              </w:rPr>
            </w:pPr>
            <w:r>
              <w:rPr>
                <w:rFonts w:ascii="Arial" w:cs="Arial" w:eastAsia="Arial" w:hAnsi="Arial"/>
                <w:sz w:val="18"/>
                <w:szCs w:val="18"/>
                <w:color w:val="auto"/>
                <w:w w:val="99"/>
              </w:rPr>
              <w:t>By:</w:t>
            </w: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Livingston</w:t>
            </w:r>
          </w:p>
        </w:tc>
      </w:tr>
      <w:tr>
        <w:trPr>
          <w:trHeight w:val="222"/>
        </w:trPr>
        <w:tc>
          <w:tcPr>
            <w:tcW w:w="3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Mark Livingston</w:t>
            </w:r>
          </w:p>
        </w:tc>
      </w:tr>
      <w:tr>
        <w:trPr>
          <w:trHeight w:val="216"/>
        </w:trPr>
        <w:tc>
          <w:tcPr>
            <w:tcW w:w="3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6"/>
        </w:trPr>
        <w:tc>
          <w:tcPr>
            <w:tcW w:w="3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3"/>
    </w:lvl>
  </w:abstractNum>
  <w:abstractNum w:abstractNumId="10">
    <w:nsid w:val="2CA88611"/>
    <w:multiLevelType w:val="hybridMultilevel"/>
    <w:lvl w:ilvl="0">
      <w:lvlJc w:val="left"/>
      <w:lvlText w:val="%1."/>
      <w:numFmt w:val="decimal"/>
      <w:start w:val="4"/>
    </w:lvl>
  </w:abstractNum>
  <w:abstractNum w:abstractNumId="11">
    <w:nsid w:val="836C40E"/>
    <w:multiLevelType w:val="hybridMultilevel"/>
    <w:lvl w:ilvl="0">
      <w:lvlJc w:val="left"/>
      <w:lvlText w:val="%1."/>
      <w:numFmt w:val="decimal"/>
      <w:start w:val="5"/>
    </w:lvl>
  </w:abstractNum>
  <w:abstractNum w:abstractNumId="12">
    <w:nsid w:val="2901D82"/>
    <w:multiLevelType w:val="hybridMultilevel"/>
    <w:lvl w:ilvl="0">
      <w:lvlJc w:val="left"/>
      <w:lvlText w:val="%1."/>
      <w:numFmt w:val="decimal"/>
      <w:start w:val="6"/>
    </w:lvl>
  </w:abstractNum>
  <w:abstractNum w:abstractNumId="13">
    <w:nsid w:val="3A95F874"/>
    <w:multiLevelType w:val="hybridMultilevel"/>
    <w:lvl w:ilvl="0">
      <w:lvlJc w:val="left"/>
      <w:lvlText w:val="%1."/>
      <w:numFmt w:val="decimal"/>
      <w:start w:val="7"/>
    </w:lvl>
  </w:abstractNum>
  <w:abstractNum w:abstractNumId="14">
    <w:nsid w:val="8138641"/>
    <w:multiLevelType w:val="hybridMultilevel"/>
    <w:lvl w:ilvl="0">
      <w:lvlJc w:val="left"/>
      <w:lvlText w:val="%1."/>
      <w:numFmt w:val="decimal"/>
      <w:start w:val="10"/>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lvl w:ilvl="1">
      <w:lvlJc w:val="left"/>
      <w:lvlText w:val="%2"/>
      <w:numFmt w:val="decimal"/>
      <w:start w:val="104"/>
    </w:lvl>
  </w:abstractNum>
  <w:abstractNum w:abstractNumId="40">
    <w:nsid w:val="2A487CB0"/>
    <w:multiLevelType w:val="hybridMultilevel"/>
    <w:lvl w:ilvl="0">
      <w:lvlJc w:val="left"/>
      <w:lvlText w:val="**"/>
      <w:numFmt w:val="bullet"/>
      <w:start w:val="1"/>
    </w:lvl>
    <w:lvl w:ilvl="1">
      <w:lvlJc w:val="left"/>
      <w:lvlText w:val="%2"/>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89" Type="http://schemas.openxmlformats.org/officeDocument/2006/relationships/hyperlink" Target="http://www.sec.gov/Archives/edgar/data/1551306/000110465919058484/a19-21599_1ex3d1.htm" TargetMode="External"/><Relationship Id="rId90" Type="http://schemas.openxmlformats.org/officeDocument/2006/relationships/hyperlink" Target="http://www.sec.gov/Archives/edgar/data/1551306/000104746919005487/a2239750zex-3_4.htm" TargetMode="External"/><Relationship Id="rId91" Type="http://schemas.openxmlformats.org/officeDocument/2006/relationships/hyperlink" Target="http://www.sec.gov/Archives/edgar/data/1551306/000104746919005727/a2239825zex-4_1.htm" TargetMode="External"/><Relationship Id="rId92" Type="http://schemas.openxmlformats.org/officeDocument/2006/relationships/hyperlink" Target="http://www.sec.gov/Archives/edgar/data/1551306/000104746919005727/a2239825zex-4_2.htm" TargetMode="External"/><Relationship Id="rId93" Type="http://schemas.openxmlformats.org/officeDocument/2006/relationships/hyperlink" Target="http://www.sec.gov/Archives/edgar/data/1551306/000104746919005727/a2239825zex-4_3.htm" TargetMode="External"/><Relationship Id="rId94" Type="http://schemas.openxmlformats.org/officeDocument/2006/relationships/hyperlink" Target="http://www.sec.gov/Archives/edgar/data/1551306/000104746919005727/a2239825zex-4_4.htm" TargetMode="External"/><Relationship Id="rId95"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2021-11-08T16:30:19Z</dcterms:created>
  <dcterms:modified xsi:type="dcterms:W3CDTF">2021-11-08T16:30:19Z</dcterms:modified>
</cp:coreProperties>
</file>