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____________________________________________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0"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____________________________________________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44" w:lineRule="exact"/>
        <w:rPr>
          <w:sz w:val="24"/>
          <w:szCs w:val="24"/>
          <w:color w:val="auto"/>
        </w:rPr>
      </w:pPr>
    </w:p>
    <w:p>
      <w:pPr>
        <w:ind w:left="660" w:hanging="634"/>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4" w:lineRule="exact"/>
        <w:rPr>
          <w:sz w:val="24"/>
          <w:szCs w:val="24"/>
          <w:color w:val="auto"/>
        </w:rPr>
      </w:pPr>
    </w:p>
    <w:p>
      <w:pPr>
        <w:ind w:left="660" w:hanging="634"/>
        <w:spacing w:after="0"/>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2920"/>
        <w:spacing w:after="0"/>
        <w:rPr>
          <w:sz w:val="20"/>
          <w:szCs w:val="20"/>
          <w:color w:val="auto"/>
        </w:rPr>
      </w:pPr>
      <w:r>
        <w:rPr>
          <w:rFonts w:ascii="Arial" w:cs="Arial" w:eastAsia="Arial" w:hAnsi="Arial"/>
          <w:sz w:val="16"/>
          <w:szCs w:val="16"/>
          <w:b w:val="1"/>
          <w:bCs w:val="1"/>
          <w:color w:val="auto"/>
        </w:rPr>
        <w:t>For the transition period from ___________________ to 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001-39100</w:t>
      </w:r>
    </w:p>
    <w:p>
      <w:pPr>
        <w:spacing w:after="0" w:line="18"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Progyny,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____________________________________________</w:t>
      </w:r>
    </w:p>
    <w:p>
      <w:pPr>
        <w:spacing w:after="0" w:line="140" w:lineRule="exact"/>
        <w:rPr>
          <w:sz w:val="24"/>
          <w:szCs w:val="24"/>
          <w:color w:val="auto"/>
        </w:rPr>
      </w:pPr>
    </w:p>
    <w:tbl>
      <w:tblPr>
        <w:tblLayout w:type="fixed"/>
        <w:tblInd w:w="1920" w:type="dxa"/>
        <w:tblCellMar>
          <w:top w:w="0" w:type="dxa"/>
          <w:left w:w="0" w:type="dxa"/>
          <w:bottom w:w="0" w:type="dxa"/>
          <w:right w:w="0" w:type="dxa"/>
        </w:tblCellMar>
      </w:tblPr>
      <w:tr>
        <w:trPr>
          <w:trHeight w:val="210"/>
        </w:trPr>
        <w:tc>
          <w:tcPr>
            <w:tcW w:w="3940" w:type="dxa"/>
            <w:vAlign w:val="bottom"/>
          </w:tcPr>
          <w:p>
            <w:pPr>
              <w:jc w:val="center"/>
              <w:ind w:right="2093"/>
              <w:spacing w:after="0"/>
              <w:rPr>
                <w:sz w:val="20"/>
                <w:szCs w:val="20"/>
                <w:color w:val="auto"/>
              </w:rPr>
            </w:pPr>
            <w:r>
              <w:rPr>
                <w:rFonts w:ascii="Arial" w:cs="Arial" w:eastAsia="Arial" w:hAnsi="Arial"/>
                <w:sz w:val="16"/>
                <w:szCs w:val="16"/>
                <w:b w:val="1"/>
                <w:bCs w:val="1"/>
                <w:color w:val="auto"/>
                <w:w w:val="93"/>
              </w:rPr>
              <w:t>Delaware</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27-2220139</w:t>
            </w:r>
          </w:p>
        </w:tc>
      </w:tr>
      <w:tr>
        <w:trPr>
          <w:trHeight w:val="168"/>
        </w:trPr>
        <w:tc>
          <w:tcPr>
            <w:tcW w:w="3940" w:type="dxa"/>
            <w:vAlign w:val="bottom"/>
          </w:tcPr>
          <w:p>
            <w:pPr>
              <w:jc w:val="center"/>
              <w:ind w:right="2093"/>
              <w:spacing w:after="0"/>
              <w:rPr>
                <w:sz w:val="20"/>
                <w:szCs w:val="20"/>
                <w:color w:val="auto"/>
              </w:rPr>
            </w:pPr>
            <w:r>
              <w:rPr>
                <w:rFonts w:ascii="Arial" w:cs="Arial" w:eastAsia="Arial" w:hAnsi="Arial"/>
                <w:sz w:val="11"/>
                <w:szCs w:val="11"/>
                <w:b w:val="1"/>
                <w:bCs w:val="1"/>
                <w:color w:val="auto"/>
                <w:w w:val="88"/>
              </w:rPr>
              <w:t>(State or other jurisdiction of</w:t>
            </w:r>
          </w:p>
        </w:tc>
        <w:tc>
          <w:tcPr>
            <w:tcW w:w="3000" w:type="dxa"/>
            <w:vAlign w:val="bottom"/>
          </w:tcPr>
          <w:p>
            <w:pPr>
              <w:jc w:val="center"/>
              <w:ind w:left="2075"/>
              <w:spacing w:after="0"/>
              <w:rPr>
                <w:sz w:val="20"/>
                <w:szCs w:val="20"/>
                <w:color w:val="auto"/>
              </w:rPr>
            </w:pPr>
            <w:r>
              <w:rPr>
                <w:rFonts w:ascii="Arial" w:cs="Arial" w:eastAsia="Arial" w:hAnsi="Arial"/>
                <w:sz w:val="11"/>
                <w:szCs w:val="11"/>
                <w:b w:val="1"/>
                <w:bCs w:val="1"/>
                <w:color w:val="auto"/>
                <w:w w:val="92"/>
              </w:rPr>
              <w:t>(I.R.S. Employer</w:t>
            </w:r>
          </w:p>
        </w:tc>
      </w:tr>
      <w:tr>
        <w:trPr>
          <w:trHeight w:val="154"/>
        </w:trPr>
        <w:tc>
          <w:tcPr>
            <w:tcW w:w="3940" w:type="dxa"/>
            <w:vAlign w:val="bottom"/>
          </w:tcPr>
          <w:p>
            <w:pPr>
              <w:jc w:val="center"/>
              <w:ind w:right="2073"/>
              <w:spacing w:after="0"/>
              <w:rPr>
                <w:sz w:val="20"/>
                <w:szCs w:val="20"/>
                <w:color w:val="auto"/>
              </w:rPr>
            </w:pPr>
            <w:r>
              <w:rPr>
                <w:rFonts w:ascii="Arial" w:cs="Arial" w:eastAsia="Arial" w:hAnsi="Arial"/>
                <w:sz w:val="11"/>
                <w:szCs w:val="11"/>
                <w:b w:val="1"/>
                <w:bCs w:val="1"/>
                <w:color w:val="auto"/>
                <w:w w:val="89"/>
              </w:rPr>
              <w:t>incorporation or organization)</w:t>
            </w:r>
          </w:p>
        </w:tc>
        <w:tc>
          <w:tcPr>
            <w:tcW w:w="3000" w:type="dxa"/>
            <w:vAlign w:val="bottom"/>
          </w:tcPr>
          <w:p>
            <w:pPr>
              <w:jc w:val="center"/>
              <w:ind w:left="2075"/>
              <w:spacing w:after="0"/>
              <w:rPr>
                <w:sz w:val="20"/>
                <w:szCs w:val="20"/>
                <w:color w:val="auto"/>
              </w:rPr>
            </w:pPr>
            <w:r>
              <w:rPr>
                <w:rFonts w:ascii="Arial" w:cs="Arial" w:eastAsia="Arial" w:hAnsi="Arial"/>
                <w:sz w:val="11"/>
                <w:szCs w:val="11"/>
                <w:b w:val="1"/>
                <w:bCs w:val="1"/>
                <w:color w:val="auto"/>
                <w:w w:val="92"/>
              </w:rPr>
              <w:t>Identification No.)</w:t>
            </w:r>
          </w:p>
        </w:tc>
      </w:tr>
      <w:tr>
        <w:trPr>
          <w:trHeight w:val="232"/>
        </w:trPr>
        <w:tc>
          <w:tcPr>
            <w:tcW w:w="3940" w:type="dxa"/>
            <w:vAlign w:val="bottom"/>
          </w:tcPr>
          <w:p>
            <w:pPr>
              <w:jc w:val="center"/>
              <w:ind w:right="2073"/>
              <w:spacing w:after="0"/>
              <w:rPr>
                <w:sz w:val="20"/>
                <w:szCs w:val="20"/>
                <w:color w:val="auto"/>
              </w:rPr>
            </w:pPr>
            <w:r>
              <w:rPr>
                <w:rFonts w:ascii="Arial" w:cs="Arial" w:eastAsia="Arial" w:hAnsi="Arial"/>
                <w:sz w:val="16"/>
                <w:szCs w:val="16"/>
                <w:b w:val="1"/>
                <w:bCs w:val="1"/>
                <w:color w:val="auto"/>
                <w:w w:val="92"/>
              </w:rPr>
              <w:t>1359 Broadway</w:t>
            </w:r>
          </w:p>
        </w:tc>
        <w:tc>
          <w:tcPr>
            <w:tcW w:w="3000" w:type="dxa"/>
            <w:vAlign w:val="bottom"/>
          </w:tcPr>
          <w:p>
            <w:pPr>
              <w:spacing w:after="0"/>
              <w:rPr>
                <w:sz w:val="20"/>
                <w:szCs w:val="20"/>
                <w:color w:val="auto"/>
              </w:rPr>
            </w:pPr>
          </w:p>
        </w:tc>
      </w:tr>
      <w:tr>
        <w:trPr>
          <w:trHeight w:val="243"/>
        </w:trPr>
        <w:tc>
          <w:tcPr>
            <w:tcW w:w="3940" w:type="dxa"/>
            <w:vAlign w:val="bottom"/>
          </w:tcPr>
          <w:p>
            <w:pPr>
              <w:jc w:val="center"/>
              <w:ind w:right="2073"/>
              <w:spacing w:after="0"/>
              <w:rPr>
                <w:sz w:val="20"/>
                <w:szCs w:val="20"/>
                <w:color w:val="auto"/>
              </w:rPr>
            </w:pPr>
            <w:r>
              <w:rPr>
                <w:rFonts w:ascii="Arial" w:cs="Arial" w:eastAsia="Arial" w:hAnsi="Arial"/>
                <w:sz w:val="16"/>
                <w:szCs w:val="16"/>
                <w:b w:val="1"/>
                <w:bCs w:val="1"/>
                <w:color w:val="auto"/>
                <w:w w:val="95"/>
              </w:rPr>
              <w:t xml:space="preserve">New York, </w:t>
            </w:r>
            <w:r>
              <w:rPr>
                <w:rFonts w:ascii="Arial" w:cs="Arial" w:eastAsia="Arial" w:hAnsi="Arial"/>
                <w:sz w:val="17"/>
                <w:szCs w:val="17"/>
                <w:b w:val="1"/>
                <w:bCs w:val="1"/>
                <w:color w:val="auto"/>
                <w:w w:val="95"/>
              </w:rPr>
              <w:t>New York</w:t>
            </w:r>
          </w:p>
        </w:tc>
        <w:tc>
          <w:tcPr>
            <w:tcW w:w="3000" w:type="dxa"/>
            <w:vAlign w:val="bottom"/>
          </w:tcPr>
          <w:p>
            <w:pPr>
              <w:jc w:val="right"/>
              <w:ind w:right="155"/>
              <w:spacing w:after="0"/>
              <w:rPr>
                <w:sz w:val="20"/>
                <w:szCs w:val="20"/>
                <w:color w:val="auto"/>
              </w:rPr>
            </w:pPr>
            <w:r>
              <w:rPr>
                <w:rFonts w:ascii="Arial" w:cs="Arial" w:eastAsia="Arial" w:hAnsi="Arial"/>
                <w:sz w:val="16"/>
                <w:szCs w:val="16"/>
                <w:b w:val="1"/>
                <w:bCs w:val="1"/>
                <w:color w:val="auto"/>
              </w:rPr>
              <w:t>10018</w:t>
            </w:r>
          </w:p>
        </w:tc>
      </w:tr>
      <w:tr>
        <w:trPr>
          <w:trHeight w:val="187"/>
        </w:trPr>
        <w:tc>
          <w:tcPr>
            <w:tcW w:w="3940" w:type="dxa"/>
            <w:vAlign w:val="bottom"/>
          </w:tcPr>
          <w:p>
            <w:pPr>
              <w:jc w:val="center"/>
              <w:ind w:right="2093"/>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3000" w:type="dxa"/>
            <w:vAlign w:val="bottom"/>
          </w:tcPr>
          <w:p>
            <w:pPr>
              <w:jc w:val="center"/>
              <w:ind w:left="2075"/>
              <w:spacing w:after="0"/>
              <w:rPr>
                <w:sz w:val="20"/>
                <w:szCs w:val="20"/>
                <w:color w:val="auto"/>
              </w:rPr>
            </w:pPr>
            <w:r>
              <w:rPr>
                <w:rFonts w:ascii="Arial" w:cs="Arial" w:eastAsia="Arial" w:hAnsi="Arial"/>
                <w:sz w:val="11"/>
                <w:szCs w:val="11"/>
                <w:b w:val="1"/>
                <w:bCs w:val="1"/>
                <w:color w:val="auto"/>
                <w:w w:val="91"/>
              </w:rPr>
              <w:t>(Zip Code)</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888-3124</w:t>
      </w:r>
    </w:p>
    <w:p>
      <w:pPr>
        <w:spacing w:after="0" w:line="12"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7" w:lineRule="exact"/>
        <w:rPr>
          <w:sz w:val="24"/>
          <w:szCs w:val="24"/>
          <w:color w:val="auto"/>
        </w:rPr>
      </w:pPr>
    </w:p>
    <w:p>
      <w:pPr>
        <w:ind w:left="5500"/>
        <w:spacing w:after="0"/>
        <w:rPr>
          <w:sz w:val="20"/>
          <w:szCs w:val="20"/>
          <w:color w:val="auto"/>
        </w:rPr>
      </w:pPr>
      <w:r>
        <w:rPr>
          <w:rFonts w:ascii="Arial" w:cs="Arial" w:eastAsia="Arial" w:hAnsi="Arial"/>
          <w:sz w:val="14"/>
          <w:szCs w:val="14"/>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5"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____________________________________________</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412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3380" w:type="dxa"/>
            <w:vAlign w:val="bottom"/>
          </w:tcPr>
          <w:p>
            <w:pPr>
              <w:jc w:val="center"/>
              <w:ind w:left="308"/>
              <w:spacing w:after="0"/>
              <w:rPr>
                <w:sz w:val="20"/>
                <w:szCs w:val="20"/>
                <w:color w:val="auto"/>
              </w:rPr>
            </w:pPr>
            <w:r>
              <w:rPr>
                <w:rFonts w:ascii="Arial" w:cs="Arial" w:eastAsia="Arial" w:hAnsi="Arial"/>
                <w:sz w:val="14"/>
                <w:szCs w:val="14"/>
                <w:color w:val="auto"/>
              </w:rPr>
              <w:t>PGNY</w:t>
            </w:r>
          </w:p>
        </w:tc>
        <w:tc>
          <w:tcPr>
            <w:tcW w:w="4120" w:type="dxa"/>
            <w:vAlign w:val="bottom"/>
          </w:tcPr>
          <w:p>
            <w:pPr>
              <w:jc w:val="center"/>
              <w:ind w:left="288"/>
              <w:spacing w:after="0"/>
              <w:rPr>
                <w:sz w:val="20"/>
                <w:szCs w:val="20"/>
                <w:color w:val="auto"/>
              </w:rPr>
            </w:pPr>
            <w:r>
              <w:rPr>
                <w:rFonts w:ascii="Arial" w:cs="Arial" w:eastAsia="Arial" w:hAnsi="Arial"/>
                <w:sz w:val="14"/>
                <w:szCs w:val="14"/>
                <w:color w:val="auto"/>
                <w:w w:val="93"/>
              </w:rPr>
              <w:t>The Nasdaq Global Select Market</w:t>
            </w:r>
          </w:p>
        </w:tc>
      </w:tr>
    </w:tbl>
    <w:p>
      <w:pPr>
        <w:ind w:left="1080"/>
        <w:spacing w:after="0"/>
        <w:rPr>
          <w:sz w:val="20"/>
          <w:szCs w:val="20"/>
          <w:color w:val="auto"/>
        </w:rPr>
      </w:pPr>
      <w:r>
        <w:rPr>
          <w:rFonts w:ascii="Arial" w:cs="Arial" w:eastAsia="Arial" w:hAnsi="Arial"/>
          <w:sz w:val="14"/>
          <w:szCs w:val="14"/>
          <w:color w:val="auto"/>
        </w:rPr>
        <w:t>$0.0001 par value per share</w:t>
      </w:r>
    </w:p>
    <w:p>
      <w:pPr>
        <w:spacing w:after="0" w:line="232" w:lineRule="exact"/>
        <w:rPr>
          <w:sz w:val="24"/>
          <w:szCs w:val="24"/>
          <w:color w:val="auto"/>
        </w:rPr>
      </w:pPr>
    </w:p>
    <w:p>
      <w:pPr>
        <w:jc w:val="both"/>
        <w:ind w:firstLine="648"/>
        <w:spacing w:after="0" w:line="3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66"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680" w:type="dxa"/>
        <w:tblCellMar>
          <w:top w:w="0" w:type="dxa"/>
          <w:left w:w="0" w:type="dxa"/>
          <w:bottom w:w="0" w:type="dxa"/>
          <w:right w:w="0" w:type="dxa"/>
        </w:tblCellMar>
      </w:tblPr>
      <w:tr>
        <w:trPr>
          <w:trHeight w:val="209"/>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x</w:t>
            </w:r>
          </w:p>
        </w:tc>
        <w:tc>
          <w:tcPr>
            <w:tcW w:w="296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o</w:t>
            </w:r>
          </w:p>
        </w:tc>
        <w:tc>
          <w:tcPr>
            <w:tcW w:w="2960" w:type="dxa"/>
            <w:vAlign w:val="bottom"/>
          </w:tcPr>
          <w:p>
            <w:pPr>
              <w:ind w:left="64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bl>
    <w:p>
      <w:pPr>
        <w:spacing w:after="0" w:line="196" w:lineRule="exact"/>
        <w:rPr>
          <w:sz w:val="24"/>
          <w:szCs w:val="24"/>
          <w:color w:val="auto"/>
        </w:rPr>
      </w:pPr>
    </w:p>
    <w:p>
      <w:pPr>
        <w:ind w:firstLine="648"/>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ind w:left="660" w:right="3380"/>
        <w:spacing w:after="0" w:line="507"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 As of July 31, 2023, the registrant had 95,406,381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680" w:type="dxa"/>
            <w:vAlign w:val="bottom"/>
            <w:gridSpan w:val="2"/>
            <w:vMerge w:val="restart"/>
          </w:tcPr>
          <w:p>
            <w:pPr>
              <w:spacing w:after="0"/>
              <w:rPr>
                <w:sz w:val="2"/>
                <w:szCs w:val="2"/>
                <w:color w:val="auto"/>
              </w:rPr>
            </w:pPr>
          </w:p>
        </w:tc>
        <w:tc>
          <w:tcPr>
            <w:tcW w:w="238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6720" w:type="dxa"/>
            <w:vAlign w:val="bottom"/>
            <w:gridSpan w:val="11"/>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380" w:type="dxa"/>
            <w:vAlign w:val="bottom"/>
            <w:tcBorders>
              <w:bottom w:val="single" w:sz="8" w:color="0000FF"/>
            </w:tcBorders>
            <w:gridSpan w:val="9"/>
            <w:vMerge w:val="continue"/>
          </w:tcPr>
          <w:p>
            <w:pPr>
              <w:spacing w:after="0"/>
              <w:rPr>
                <w:sz w:val="15"/>
                <w:szCs w:val="15"/>
                <w:color w:val="auto"/>
              </w:rPr>
            </w:pPr>
          </w:p>
        </w:tc>
        <w:tc>
          <w:tcPr>
            <w:tcW w:w="6720" w:type="dxa"/>
            <w:vAlign w:val="bottom"/>
            <w:gridSpan w:val="11"/>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800" w:type="dxa"/>
            <w:vAlign w:val="bottom"/>
            <w:gridSpan w:val="3"/>
          </w:tcPr>
          <w:p>
            <w:pPr>
              <w:spacing w:after="0"/>
              <w:rPr>
                <w:sz w:val="24"/>
                <w:szCs w:val="24"/>
                <w:color w:val="auto"/>
              </w:rPr>
            </w:pP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Financial Statements (Unaudited)</w:t>
            </w:r>
          </w:p>
        </w:tc>
        <w:tc>
          <w:tcPr>
            <w:tcW w:w="668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rPr>
              <w:t>Consolidated Balance Sheets as of June 30, 2023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Operations for the Three and Six Months Ended June 30, 2023 and 2022</w:t>
            </w:r>
          </w:p>
        </w:tc>
        <w:tc>
          <w:tcPr>
            <w:tcW w:w="170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w w:val="98"/>
              </w:rPr>
              <w:t>Consolidated Statements of Comprehensive Income for the Three and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w w:val="91"/>
              </w:rPr>
              <w:t>Consolidated Statements of Changes in Stockholders’ Equity for the Three and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Consolidated Statements of Cash Flows for the Six Months Ended June 30, 2023 and 2022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Notes to Consolidated Financial Statements</w:t>
            </w:r>
          </w:p>
        </w:tc>
        <w:tc>
          <w:tcPr>
            <w:tcW w:w="2420" w:type="dxa"/>
            <w:vAlign w:val="bottom"/>
            <w:gridSpan w:val="5"/>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20"/>
                <w:szCs w:val="20"/>
                <w:color w:val="auto"/>
              </w:rPr>
            </w:pPr>
          </w:p>
        </w:tc>
        <w:tc>
          <w:tcPr>
            <w:tcW w:w="64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60" w:type="dxa"/>
            <w:vAlign w:val="bottom"/>
            <w:gridSpan w:val="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800" w:type="dxa"/>
            <w:vAlign w:val="bottom"/>
            <w:gridSpan w:val="3"/>
          </w:tcPr>
          <w:p>
            <w:pPr>
              <w:spacing w:after="0"/>
              <w:rPr>
                <w:sz w:val="20"/>
                <w:szCs w:val="20"/>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800" w:type="dxa"/>
            <w:vAlign w:val="bottom"/>
            <w:gridSpan w:val="3"/>
          </w:tcPr>
          <w:p>
            <w:pPr>
              <w:spacing w:after="0"/>
              <w:rPr>
                <w:sz w:val="20"/>
                <w:szCs w:val="20"/>
                <w:color w:val="auto"/>
              </w:rPr>
            </w:pP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760" w:type="dxa"/>
            <w:vAlign w:val="bottom"/>
            <w:gridSpan w:val="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9100" w:type="dxa"/>
            <w:vAlign w:val="bottom"/>
            <w:gridSpan w:val="20"/>
          </w:tcPr>
          <w:p>
            <w:pPr>
              <w:spacing w:after="0"/>
              <w:rPr>
                <w:sz w:val="20"/>
                <w:szCs w:val="20"/>
                <w:color w:val="auto"/>
              </w:rPr>
            </w:pPr>
            <w:r>
              <w:rPr>
                <w:rFonts w:ascii="Arial" w:cs="Arial" w:eastAsia="Arial" w:hAnsi="Arial"/>
                <w:sz w:val="18"/>
                <w:szCs w:val="18"/>
                <w:b w:val="1"/>
                <w:bCs w:val="1"/>
                <w:color w:val="0000FF"/>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708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1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20"/>
                <w:szCs w:val="20"/>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800" w:type="dxa"/>
            <w:vAlign w:val="bottom"/>
            <w:tcBorders>
              <w:top w:val="single" w:sz="8" w:color="0000FF"/>
            </w:tcBorders>
            <w:gridSpan w:val="3"/>
          </w:tcPr>
          <w:p>
            <w:pPr>
              <w:spacing w:after="0"/>
              <w:rPr>
                <w:sz w:val="20"/>
                <w:szCs w:val="20"/>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4820" w:type="dxa"/>
            <w:vAlign w:val="bottom"/>
            <w:tcBorders>
              <w:top w:val="single" w:sz="8" w:color="0000FF"/>
            </w:tcBorders>
            <w:gridSpan w:val="8"/>
          </w:tcPr>
          <w:p>
            <w:pPr>
              <w:spacing w:after="0"/>
              <w:rPr>
                <w:sz w:val="20"/>
                <w:szCs w:val="20"/>
                <w:color w:val="auto"/>
              </w:rPr>
            </w:pPr>
          </w:p>
        </w:tc>
        <w:tc>
          <w:tcPr>
            <w:tcW w:w="1960" w:type="dxa"/>
            <w:vAlign w:val="bottom"/>
            <w:gridSpan w:val="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800" w:type="dxa"/>
            <w:vAlign w:val="bottom"/>
            <w:gridSpan w:val="3"/>
          </w:tcPr>
          <w:p>
            <w:pPr>
              <w:spacing w:after="0"/>
              <w:rPr>
                <w:sz w:val="20"/>
                <w:szCs w:val="20"/>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800" w:type="dxa"/>
            <w:vAlign w:val="bottom"/>
            <w:gridSpan w:val="3"/>
          </w:tcPr>
          <w:p>
            <w:pPr>
              <w:spacing w:after="0"/>
              <w:rPr>
                <w:sz w:val="20"/>
                <w:szCs w:val="20"/>
                <w:color w:val="auto"/>
              </w:rPr>
            </w:pP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7340" w:type="dxa"/>
            <w:vAlign w:val="bottom"/>
            <w:gridSpan w:val="1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800" w:type="dxa"/>
            <w:vAlign w:val="bottom"/>
            <w:gridSpan w:val="3"/>
          </w:tcPr>
          <w:p>
            <w:pPr>
              <w:spacing w:after="0"/>
              <w:rPr>
                <w:sz w:val="21"/>
                <w:szCs w:val="21"/>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3"/>
          </w:tcPr>
          <w:p>
            <w:pPr>
              <w:spacing w:after="0"/>
              <w:rPr>
                <w:sz w:val="21"/>
                <w:szCs w:val="21"/>
                <w:color w:val="auto"/>
              </w:rPr>
            </w:pPr>
          </w:p>
        </w:tc>
        <w:tc>
          <w:tcPr>
            <w:tcW w:w="7780" w:type="dxa"/>
            <w:vAlign w:val="bottom"/>
            <w:gridSpan w:val="15"/>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8340" w:type="dxa"/>
            <w:vAlign w:val="bottom"/>
            <w:gridSpan w:val="1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strategies, plans, objectives and goals; and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results of operations, which would cause our stock price to decline.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the global economy or our industry could limit our ability to grow our business and negatively affect our results of operations.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change in the level or the mix of the utilization of our solutions could have an adverse effect on our business, financial condition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operating history with our current platform of solutions, which makes it difficult to predict our future results of operations.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and monitoring of, third parties, including channel partners, vendors, as well as insurance carriers.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operate in a highly regulated industry and must comply with a significant number of complex and evolving legal and regulatory requirements.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“Progyny,” “the Company,” “we,” “our” and “us” refer to Progyny, Inc. and its wholly owned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announce material information to the public through filings with the SEC, our investor relations website at </w:t>
      </w:r>
      <w:r>
        <w:rPr>
          <w:rFonts w:ascii="Arial" w:cs="Arial" w:eastAsia="Arial" w:hAnsi="Arial"/>
          <w:sz w:val="18"/>
          <w:szCs w:val="18"/>
          <w:i w:val="1"/>
          <w:iCs w:val="1"/>
          <w:color w:val="auto"/>
        </w:rPr>
        <w:t>investors.progyny.com</w:t>
      </w:r>
      <w:r>
        <w:rPr>
          <w:rFonts w:ascii="Arial" w:cs="Arial" w:eastAsia="Arial" w:hAnsi="Arial"/>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120,078</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69,222</w:t>
            </w:r>
          </w:p>
        </w:tc>
        <w:tc>
          <w:tcPr>
            <w:tcW w:w="0" w:type="dxa"/>
            <w:vAlign w:val="bottom"/>
          </w:tcPr>
          <w:p>
            <w:pPr>
              <w:spacing w:after="0"/>
              <w:rPr>
                <w:sz w:val="1"/>
                <w:szCs w:val="1"/>
                <w:color w:val="auto"/>
              </w:rPr>
            </w:pPr>
          </w:p>
        </w:tc>
      </w:tr>
      <w:tr>
        <w:trPr>
          <w:trHeight w:val="222"/>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Accounts receivable, net of $37,892 and $28,328 of allowances at June 30, 2023 and December 31, 2022,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240,067</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433,856</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77,889</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681,537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542,986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109,287</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159,536</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166,018</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6)</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80"/>
              <w:spacing w:after="0" w:line="176" w:lineRule="exact"/>
              <w:rPr>
                <w:sz w:val="20"/>
                <w:szCs w:val="20"/>
                <w:color w:val="auto"/>
              </w:rPr>
            </w:pPr>
            <w:r>
              <w:rPr>
                <w:rFonts w:ascii="Arial" w:cs="Arial" w:eastAsia="Arial" w:hAnsi="Arial"/>
                <w:sz w:val="18"/>
                <w:szCs w:val="18"/>
                <w:color w:val="auto"/>
                <w:w w:val="89"/>
              </w:rPr>
              <w:t>Common stock, $0.0001 par value; 1,000,000,000 shares authorized at June 30, 2023 and December 31, 2022;</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80"/>
              <w:spacing w:after="0" w:line="189" w:lineRule="exact"/>
              <w:rPr>
                <w:sz w:val="20"/>
                <w:szCs w:val="20"/>
                <w:color w:val="auto"/>
              </w:rPr>
            </w:pPr>
            <w:r>
              <w:rPr>
                <w:rFonts w:ascii="Arial" w:cs="Arial" w:eastAsia="Arial" w:hAnsi="Arial"/>
                <w:sz w:val="18"/>
                <w:szCs w:val="18"/>
                <w:color w:val="auto"/>
                <w:w w:val="98"/>
              </w:rPr>
              <w:t>95,165,253 and 93,301,156 shares issued and outstanding at June 30, 2023 and December 31, 2022,</w:t>
            </w: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349,533</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w w:val="98"/>
              </w:rPr>
              <w:t>Treasury stock, at cost, $0.0001 par value; 615,980 shares at June 30, 2023 and December 31, 2022</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earnings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376,968</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681,537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542,986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195,004</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367,221</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151,117</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418,486</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290,385</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76,836</w:t>
            </w:r>
          </w:p>
        </w:tc>
        <w:tc>
          <w:tcPr>
            <w:tcW w:w="0" w:type="dxa"/>
            <w:vAlign w:val="bottom"/>
          </w:tcPr>
          <w:p>
            <w:pPr>
              <w:spacing w:after="0"/>
              <w:rPr>
                <w:sz w:val="1"/>
                <w:szCs w:val="1"/>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23,553</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59,420</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46,545</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Weighted-average shares used in computing 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94,738,651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91,964,978</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94,290,653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91,578,707</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100,615,919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99,672,769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100,391,573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99,725,564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14,991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 loss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15,349</w:t>
            </w:r>
          </w:p>
        </w:tc>
        <w:tc>
          <w:tcPr>
            <w:tcW w:w="10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8,797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33,250</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13,850</w:t>
            </w:r>
          </w:p>
        </w:tc>
      </w:tr>
      <w:tr>
        <w:trPr>
          <w:trHeight w:val="20"/>
        </w:trPr>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0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ind w:left="60"/>
              <w:spacing w:after="0" w:line="125"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1"/>
              </w:rPr>
              <w:t>Paid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line="125"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108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June 30, 2023:</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Balance at March 31, 2023</w:t>
            </w:r>
          </w:p>
        </w:tc>
        <w:tc>
          <w:tcPr>
            <w:tcW w:w="1020" w:type="dxa"/>
            <w:vAlign w:val="bottom"/>
          </w:tcPr>
          <w:p>
            <w:pPr>
              <w:jc w:val="right"/>
              <w:spacing w:after="0"/>
              <w:rPr>
                <w:sz w:val="20"/>
                <w:szCs w:val="20"/>
                <w:color w:val="auto"/>
              </w:rPr>
            </w:pPr>
            <w:r>
              <w:rPr>
                <w:rFonts w:ascii="Arial" w:cs="Arial" w:eastAsia="Arial" w:hAnsi="Arial"/>
                <w:sz w:val="14"/>
                <w:szCs w:val="14"/>
                <w:color w:val="auto"/>
              </w:rPr>
              <w:t>94,319,215</w:t>
            </w:r>
          </w:p>
        </w:tc>
        <w:tc>
          <w:tcPr>
            <w:tcW w:w="88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379,065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45,612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424,401</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846,038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91"/>
        </w:trPr>
        <w:tc>
          <w:tcPr>
            <w:tcW w:w="35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31,899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31,899</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14,991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14,991</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95,165,253</w:t>
            </w:r>
          </w:p>
        </w:tc>
        <w:tc>
          <w:tcPr>
            <w:tcW w:w="88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408,814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469,499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June 30, 2022:</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020" w:type="dxa"/>
            <w:vAlign w:val="bottom"/>
          </w:tcPr>
          <w:p>
            <w:pPr>
              <w:jc w:val="right"/>
              <w:spacing w:after="0"/>
              <w:rPr>
                <w:sz w:val="20"/>
                <w:szCs w:val="20"/>
                <w:color w:val="auto"/>
              </w:rPr>
            </w:pPr>
            <w:r>
              <w:rPr>
                <w:rFonts w:ascii="Arial" w:cs="Arial" w:eastAsia="Arial" w:hAnsi="Arial"/>
                <w:sz w:val="14"/>
                <w:szCs w:val="14"/>
                <w:color w:val="auto"/>
              </w:rPr>
              <w:t>91,741,481</w:t>
            </w:r>
          </w:p>
        </w:tc>
        <w:tc>
          <w:tcPr>
            <w:tcW w:w="88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278,083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2,547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279,619</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315,335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23,822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23,822</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8,768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92,056,816</w:t>
            </w:r>
          </w:p>
        </w:tc>
        <w:tc>
          <w:tcPr>
            <w:tcW w:w="88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300,691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311,024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2023:</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1020" w:type="dxa"/>
            <w:vAlign w:val="bottom"/>
          </w:tcPr>
          <w:p>
            <w:pPr>
              <w:jc w:val="right"/>
              <w:spacing w:after="0"/>
              <w:rPr>
                <w:sz w:val="20"/>
                <w:szCs w:val="20"/>
                <w:color w:val="auto"/>
              </w:rPr>
            </w:pPr>
            <w:r>
              <w:rPr>
                <w:rFonts w:ascii="Arial" w:cs="Arial" w:eastAsia="Arial" w:hAnsi="Arial"/>
                <w:sz w:val="14"/>
                <w:szCs w:val="14"/>
                <w:color w:val="auto"/>
              </w:rPr>
              <w:t>93,301,156</w:t>
            </w:r>
          </w:p>
        </w:tc>
        <w:tc>
          <w:tcPr>
            <w:tcW w:w="88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349,533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27,934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376,968</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1,864,097</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62,846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62,846</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32,669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32,669</w:t>
            </w:r>
          </w:p>
        </w:tc>
        <w:tc>
          <w:tcPr>
            <w:tcW w:w="0" w:type="dxa"/>
            <w:vAlign w:val="bottom"/>
          </w:tcPr>
          <w:p>
            <w:pPr>
              <w:spacing w:after="0"/>
              <w:rPr>
                <w:sz w:val="1"/>
                <w:szCs w:val="1"/>
                <w:color w:val="auto"/>
              </w:rPr>
            </w:pPr>
          </w:p>
        </w:tc>
      </w:tr>
      <w:tr>
        <w:trPr>
          <w:trHeight w:val="25"/>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95,165,253</w:t>
            </w:r>
          </w:p>
        </w:tc>
        <w:tc>
          <w:tcPr>
            <w:tcW w:w="88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408,814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469,499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2022:</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1020" w:type="dxa"/>
            <w:vAlign w:val="bottom"/>
          </w:tcPr>
          <w:p>
            <w:pPr>
              <w:jc w:val="right"/>
              <w:spacing w:after="0"/>
              <w:rPr>
                <w:sz w:val="20"/>
                <w:szCs w:val="20"/>
                <w:color w:val="auto"/>
              </w:rPr>
            </w:pPr>
            <w:r>
              <w:rPr>
                <w:rFonts w:ascii="Arial" w:cs="Arial" w:eastAsia="Arial" w:hAnsi="Arial"/>
                <w:sz w:val="14"/>
                <w:szCs w:val="14"/>
                <w:color w:val="auto"/>
              </w:rPr>
              <w:t>91,088,781</w:t>
            </w:r>
          </w:p>
        </w:tc>
        <w:tc>
          <w:tcPr>
            <w:tcW w:w="88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255,339</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251,822</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968,035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191"/>
        </w:trPr>
        <w:tc>
          <w:tcPr>
            <w:tcW w:w="35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48,525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48,525</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13,739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13,739</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92,056,816</w:t>
            </w:r>
          </w:p>
        </w:tc>
        <w:tc>
          <w:tcPr>
            <w:tcW w:w="88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9"/>
              </w:rPr>
              <w:t>(1,009)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300,691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311,024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w:t>
      </w:r>
    </w:p>
    <w:p>
      <w:pPr>
        <w:spacing w:after="0" w:line="25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r>
      <w:tr>
        <w:trPr>
          <w:trHeight w:val="39"/>
        </w:trPr>
        <w:tc>
          <w:tcPr>
            <w:tcW w:w="8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32,669</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13,739</w:t>
            </w:r>
          </w:p>
        </w:tc>
      </w:tr>
      <w:tr>
        <w:trPr>
          <w:trHeight w:val="21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60" w:type="dxa"/>
            <w:vAlign w:val="bottom"/>
          </w:tcPr>
          <w:p>
            <w:pPr>
              <w:ind w:left="100"/>
              <w:spacing w:after="0"/>
              <w:rPr>
                <w:sz w:val="20"/>
                <w:szCs w:val="20"/>
                <w:color w:val="auto"/>
              </w:rPr>
            </w:pPr>
            <w:r>
              <w:rPr>
                <w:rFonts w:ascii="Arial" w:cs="Arial" w:eastAsia="Arial" w:hAnsi="Arial"/>
                <w:sz w:val="15"/>
                <w:szCs w:val="15"/>
                <w:color w:val="auto"/>
              </w:rPr>
              <w:t>Deferred tax expense (benefit)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(5,070)</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w:t>
            </w:r>
          </w:p>
        </w:tc>
      </w:tr>
      <w:tr>
        <w:trPr>
          <w:trHeight w:val="208"/>
        </w:trPr>
        <w:tc>
          <w:tcPr>
            <w:tcW w:w="8160" w:type="dxa"/>
            <w:vAlign w:val="bottom"/>
          </w:tcPr>
          <w:p>
            <w:pPr>
              <w:ind w:left="100"/>
              <w:spacing w:after="0"/>
              <w:rPr>
                <w:sz w:val="20"/>
                <w:szCs w:val="20"/>
                <w:color w:val="auto"/>
              </w:rPr>
            </w:pPr>
            <w:r>
              <w:rPr>
                <w:rFonts w:ascii="Arial" w:cs="Arial" w:eastAsia="Arial" w:hAnsi="Arial"/>
                <w:sz w:val="15"/>
                <w:szCs w:val="15"/>
                <w:color w:val="auto"/>
              </w:rPr>
              <w:t>Stock-based compensation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62,561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48,154</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Bad debt expense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9,794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6,097</w:t>
            </w:r>
          </w:p>
        </w:tc>
      </w:tr>
      <w:tr>
        <w:trPr>
          <w:trHeight w:val="225"/>
        </w:trPr>
        <w:tc>
          <w:tcPr>
            <w:tcW w:w="8160" w:type="dxa"/>
            <w:vAlign w:val="bottom"/>
          </w:tcPr>
          <w:p>
            <w:pPr>
              <w:ind w:left="100"/>
              <w:spacing w:after="0"/>
              <w:rPr>
                <w:sz w:val="20"/>
                <w:szCs w:val="20"/>
                <w:color w:val="auto"/>
              </w:rPr>
            </w:pPr>
            <w:r>
              <w:rPr>
                <w:rFonts w:ascii="Arial" w:cs="Arial" w:eastAsia="Arial" w:hAnsi="Arial"/>
                <w:sz w:val="15"/>
                <w:szCs w:val="15"/>
                <w:color w:val="auto"/>
              </w:rPr>
              <w:t>Realized gain on sale of marketable securities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Foreign currency exchange rate gain</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816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Accounts receivable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(34,686)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(101,405)</w:t>
            </w:r>
          </w:p>
        </w:tc>
      </w:tr>
      <w:tr>
        <w:trPr>
          <w:trHeight w:val="208"/>
        </w:trPr>
        <w:tc>
          <w:tcPr>
            <w:tcW w:w="8160" w:type="dxa"/>
            <w:vAlign w:val="bottom"/>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421</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31,075</w:t>
            </w:r>
          </w:p>
        </w:tc>
      </w:tr>
      <w:tr>
        <w:trPr>
          <w:trHeight w:val="208"/>
        </w:trPr>
        <w:tc>
          <w:tcPr>
            <w:tcW w:w="816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13,829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15,591</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5"/>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Other noncurrent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w:t>
            </w:r>
          </w:p>
        </w:tc>
      </w:tr>
      <w:tr>
        <w:trPr>
          <w:trHeight w:val="205"/>
        </w:trPr>
        <w:tc>
          <w:tcPr>
            <w:tcW w:w="8160" w:type="dxa"/>
            <w:vAlign w:val="bottom"/>
          </w:tcPr>
          <w:p>
            <w:pPr>
              <w:ind w:left="26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96,973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7,984</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08"/>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(1,280)</w:t>
            </w:r>
          </w:p>
        </w:tc>
      </w:tr>
      <w:tr>
        <w:trPr>
          <w:trHeight w:val="208"/>
        </w:trPr>
        <w:tc>
          <w:tcPr>
            <w:tcW w:w="8160" w:type="dxa"/>
            <w:vAlign w:val="bottom"/>
          </w:tcPr>
          <w:p>
            <w:pPr>
              <w:ind w:left="20"/>
              <w:spacing w:after="0"/>
              <w:rPr>
                <w:sz w:val="20"/>
                <w:szCs w:val="20"/>
                <w:color w:val="auto"/>
              </w:rPr>
            </w:pPr>
            <w:r>
              <w:rPr>
                <w:rFonts w:ascii="Arial" w:cs="Arial" w:eastAsia="Arial" w:hAnsi="Arial"/>
                <w:sz w:val="15"/>
                <w:szCs w:val="15"/>
                <w:color w:val="auto"/>
              </w:rPr>
              <w:t>Purchase of marketable securities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(120,599)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(94,611)</w:t>
            </w:r>
          </w:p>
        </w:tc>
      </w:tr>
      <w:tr>
        <w:trPr>
          <w:trHeight w:val="22"/>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 of marketable securities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79,813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55,074</w:t>
            </w:r>
          </w:p>
        </w:tc>
      </w:tr>
      <w:tr>
        <w:trPr>
          <w:trHeight w:val="202"/>
        </w:trPr>
        <w:tc>
          <w:tcPr>
            <w:tcW w:w="8160" w:type="dxa"/>
            <w:vAlign w:val="bottom"/>
          </w:tcPr>
          <w:p>
            <w:pPr>
              <w:ind w:left="26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(42,796)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(40,817)</w:t>
            </w:r>
          </w:p>
        </w:tc>
      </w:tr>
      <w:tr>
        <w:trPr>
          <w:trHeight w:val="21"/>
        </w:trPr>
        <w:tc>
          <w:tcPr>
            <w:tcW w:w="8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Proceeds from exercise of stock options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Payment of employee taxes related to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contributions to employee stock purchase plan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beginning of period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1,209</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(5,635)</w:t>
            </w:r>
          </w:p>
        </w:tc>
      </w:tr>
      <w:tr>
        <w:trPr>
          <w:trHeight w:val="230"/>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576</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(3,685)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(3,850)</w:t>
            </w:r>
          </w:p>
        </w:tc>
      </w:tr>
      <w:tr>
        <w:trPr>
          <w:trHeight w:val="230"/>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50,492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(36,683)</w:t>
            </w:r>
          </w:p>
        </w:tc>
      </w:tr>
      <w:tr>
        <w:trPr>
          <w:trHeight w:val="230"/>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120,078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91,413</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170,570</w:t>
            </w:r>
          </w:p>
        </w:tc>
        <w:tc>
          <w:tcPr>
            <w:tcW w:w="6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54,730</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260" w:right="3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
        </w:trPr>
        <w:tc>
          <w:tcPr>
            <w:tcW w:w="7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income taxes, net of refunds received</w:t>
            </w:r>
          </w:p>
        </w:tc>
        <w:tc>
          <w:tcPr>
            <w:tcW w:w="1460" w:type="dxa"/>
            <w:vAlign w:val="bottom"/>
            <w:tcBorders>
              <w:bottom w:val="single" w:sz="8" w:color="CCEEFF"/>
            </w:tcBorders>
            <w:shd w:val="clear" w:color="auto" w:fill="CCEEFF"/>
          </w:tcPr>
          <w:p>
            <w:pPr>
              <w:jc w:val="right"/>
              <w:ind w:right="46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698</w:t>
            </w:r>
          </w:p>
        </w:tc>
        <w:tc>
          <w:tcPr>
            <w:tcW w:w="720" w:type="dxa"/>
            <w:vAlign w:val="bottom"/>
            <w:tcBorders>
              <w:bottom w:val="single" w:sz="8" w:color="CCEEFF"/>
            </w:tcBorders>
            <w:shd w:val="clear" w:color="auto" w:fill="CCEEFF"/>
          </w:tcPr>
          <w:p>
            <w:pPr>
              <w:jc w:val="right"/>
              <w:ind w:right="484"/>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08"/>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
        </w:trPr>
        <w:tc>
          <w:tcPr>
            <w:tcW w:w="7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of property and equipment, net included in accounts payable and accrued expenses</w:t>
            </w:r>
          </w:p>
        </w:tc>
        <w:tc>
          <w:tcPr>
            <w:tcW w:w="146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438</w:t>
            </w:r>
          </w:p>
        </w:tc>
        <w:tc>
          <w:tcPr>
            <w:tcW w:w="72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June 30, 2023, the results of the Company's operations for the three and six months ended June 30, 2023 and 2022 and the results of the Company's cash flows for the six months ended June 30, 2023 and 2022. Therefore, these unaudited consolidated financial statements should be read in conjunction with the audited consolidated financial statements and related footnotes included in the Company’s Annual Report on Form 10-K for the fiscal year ended December 31, 2022, filed with the SEC on March 1, 2023 (the “Annual Report on Form 10-K”).</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results for the three and six months ended June 30, 2023 are not necessarily indicative of the operating results expected for the year ending December 31, 2023 or any other future period. 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Progyny’s contracts include the following sources of consideration, which are all variable: a per employee per month (“PEPM”) administration fee (in most, but not all contracts) and a fixed rate per Smart Cycle. The PEPM</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contract asset or contract liability balances as of June 30, 2023 and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and December 31, 2022, accrued receivables were $61.3 million and $54.6 million, respectively. Accrued receivables are included within accounts receivable in the consolidated balance sheet.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Accrued claims payable of $42.0 million and $31.1 million as of June 30, 2023 and December 31, 2022, respectively, are included within accrued expenses and other current liabilities in the consolidated balance sheet. Claims payable are generally paid within 30 days based on contractual terms.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2023 and December 31, 2022, unbilled receivables, which represent claims received and approved but unbilled at the end of the reporting period, were $45.5 million and $42.9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4"/>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95"/>
              </w:rPr>
              <w:t>Charged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auto"/>
                <w:w w:val="89"/>
              </w:rPr>
              <w:t>Balance</w:t>
            </w: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4"/>
              <w:spacing w:after="0"/>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to Costs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at End</w:t>
            </w: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and Expenses</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Write-offs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of Period</w:t>
            </w:r>
          </w:p>
        </w:tc>
      </w:tr>
      <w:tr>
        <w:trPr>
          <w:trHeight w:val="39"/>
        </w:trPr>
        <w:tc>
          <w:tcPr>
            <w:tcW w:w="4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11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Fertility Benefits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Benefits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May 2021, the FASB issued ASU No. 2021-04 (“ASU 2021-04”) “</w:t>
      </w:r>
      <w:r>
        <w:rPr>
          <w:rFonts w:ascii="Arial" w:cs="Arial" w:eastAsia="Arial" w:hAnsi="Arial"/>
          <w:sz w:val="17"/>
          <w:szCs w:val="17"/>
          <w:i w:val="1"/>
          <w:iCs w:val="1"/>
          <w:color w:val="auto"/>
        </w:rPr>
        <w:t>Earnings Per Share (Topic 260), Debt-Modifications and Extinguishments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470-50), Compensation- Stock Compensation (Topic 718), and Derivatives and Hedging-Contracts in Entity’s Own Equity (Subtopic 815- 40)</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17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revenue by service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Fertility benefits services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329,883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237,708</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Pharmacy benefits services revenue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68,214</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207,884</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129,513</w:t>
            </w:r>
          </w:p>
        </w:tc>
        <w:tc>
          <w:tcPr>
            <w:tcW w:w="2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195,004</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5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uses observable market data when available, and minimizes the use of unobservable inputs when determining fair value.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2023 and December 31, 2022, the Company had $143.0 million and $120.6 million, respectively, in financial assets held in money market accounts and $141.8 million and $69.2 million, respectively, held in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and December 31, 2022, the Company did not have any assets or liabilities classified as Level 2 or Level 3 in the fair value hierarchy.</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beginning in April 2024 through the end of the fifth lease year and approximately $1.5 million per annum thereafter through the expiration date.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lease expense on a straight-line basis over the lease term. Lease expense for the three months ended June 30, 2023 and 2022 was $0.6 million and $0.3 million, respectively. For the six month periods ended June 30, 2023 and 2022, lease expense was $1.0 million and $0.6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outflows from operating activities attributable to the operating leases for each of the six months ended June 30, 2023 and 2022 was $0.6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the Company's leases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480" w:type="dxa"/>
            <w:vAlign w:val="bottom"/>
          </w:tcPr>
          <w:p>
            <w:pPr>
              <w:ind w:left="15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44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4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operating lease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 years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 years</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Weighted-average discount rate, operating lease</w:t>
            </w:r>
          </w:p>
        </w:tc>
        <w:tc>
          <w:tcPr>
            <w:tcW w:w="4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facility lease payments related to the Company's operating lease liabilities as of June 30, 2023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Operating Lease Payments as of June 30, 2023</w:t>
            </w: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0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1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1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30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30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19,589</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1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130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2022 Lease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pacing w:after="0" w:line="16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stock-based compensation expense, which was included in the statements of operations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4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6"/>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9,842</w:t>
            </w: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16,058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12,405</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25,977</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31,753</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23,654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62,561</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48,154</w:t>
            </w:r>
          </w:p>
        </w:tc>
      </w:tr>
    </w:tbl>
    <w:p>
      <w:pPr>
        <w:spacing w:after="0" w:line="200" w:lineRule="exact"/>
        <w:rPr>
          <w:sz w:val="20"/>
          <w:szCs w:val="20"/>
          <w:color w:val="auto"/>
        </w:rPr>
      </w:pPr>
    </w:p>
    <w:p>
      <w:pPr>
        <w:spacing w:after="0" w:line="33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six months ended June 30, 2023 and 2022,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2023, the Company recorded a provision for income taxes of $0.8 million, primarily driven by the Company's operating profit, partially offset by equity compensation activity that occurred during the period. During the six months ended June 30, 2022, the Company recorded a benefit for income taxes of $5.0 million, primarily due to equity compensation activity that occurred during the period.</w:t>
      </w:r>
    </w:p>
    <w:p>
      <w:pPr>
        <w:spacing w:after="0" w:line="1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net income per share is calculated by dividing the net income by the weighted-average number of shares of common stock outstanding for the period.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20"/>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Basic net income per common share: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14,991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8,768</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32,669</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13,739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Weighted-average shares used in computing basic net income per share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94,738,651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91,964,978</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94,290,653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91,578,707</w:t>
            </w:r>
          </w:p>
        </w:tc>
        <w:tc>
          <w:tcPr>
            <w:tcW w:w="0" w:type="dxa"/>
            <w:vAlign w:val="bottom"/>
          </w:tcPr>
          <w:p>
            <w:pPr>
              <w:spacing w:after="0"/>
              <w:rPr>
                <w:sz w:val="1"/>
                <w:szCs w:val="1"/>
                <w:color w:val="auto"/>
              </w:rPr>
            </w:pP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Basic net income per share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0.10</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0.35</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Diluted net income per common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14,991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8,768</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32,669</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13,739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0"/>
              </w:rPr>
              <w:t>Weighted-average shares used in computing basic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94,738,651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91,964,978</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94,290,653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91,578,707</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5,877,268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7,707,791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6,100,920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8,146,857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180"/>
              <w:spacing w:after="0" w:line="173" w:lineRule="exact"/>
              <w:rPr>
                <w:sz w:val="20"/>
                <w:szCs w:val="20"/>
                <w:color w:val="auto"/>
              </w:rPr>
            </w:pPr>
            <w:r>
              <w:rPr>
                <w:rFonts w:ascii="Arial" w:cs="Arial" w:eastAsia="Arial" w:hAnsi="Arial"/>
                <w:sz w:val="16"/>
                <w:szCs w:val="16"/>
                <w:color w:val="auto"/>
                <w:w w:val="97"/>
              </w:rPr>
              <w:t>Weighted-average shares used in computing diluted net income per</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100,615,919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99,672,769</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100,391,573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99,725,564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60" w:type="dxa"/>
            <w:vAlign w:val="bottom"/>
          </w:tcPr>
          <w:p>
            <w:pPr>
              <w:ind w:left="360"/>
              <w:spacing w:after="0"/>
              <w:rPr>
                <w:sz w:val="20"/>
                <w:szCs w:val="20"/>
                <w:color w:val="auto"/>
              </w:rPr>
            </w:pPr>
            <w:r>
              <w:rPr>
                <w:rFonts w:ascii="Arial" w:cs="Arial" w:eastAsia="Arial" w:hAnsi="Arial"/>
                <w:sz w:val="16"/>
                <w:szCs w:val="16"/>
                <w:color w:val="auto"/>
              </w:rPr>
              <w:t>Diluted net income per share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0.15</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0.33</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14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4860" w:type="dxa"/>
            <w:vAlign w:val="bottom"/>
          </w:tcPr>
          <w:p>
            <w:pPr>
              <w:spacing w:after="0"/>
              <w:rPr>
                <w:sz w:val="16"/>
                <w:szCs w:val="16"/>
                <w:color w:val="auto"/>
              </w:rPr>
            </w:pPr>
          </w:p>
        </w:tc>
        <w:tc>
          <w:tcPr>
            <w:tcW w:w="1980" w:type="dxa"/>
            <w:vAlign w:val="bottom"/>
            <w:gridSpan w:val="3"/>
          </w:tcPr>
          <w:p>
            <w:pPr>
              <w:jc w:val="center"/>
              <w:ind w:left="998"/>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r>
      <w:tr>
        <w:trPr>
          <w:trHeight w:val="39"/>
        </w:trPr>
        <w:tc>
          <w:tcPr>
            <w:tcW w:w="48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486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5"/>
        </w:trPr>
        <w:tc>
          <w:tcPr>
            <w:tcW w:w="48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11,952,205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7,427,360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11,866,389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7,160,965</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Shares issuable under employee stock purchase plan</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2,122</w:t>
            </w:r>
          </w:p>
        </w:tc>
        <w:tc>
          <w:tcPr>
            <w:tcW w:w="240" w:type="dxa"/>
            <w:vAlign w:val="bottom"/>
          </w:tcPr>
          <w:p>
            <w:pPr>
              <w:spacing w:after="0"/>
              <w:rPr>
                <w:sz w:val="21"/>
                <w:szCs w:val="21"/>
                <w:color w:val="auto"/>
              </w:rPr>
            </w:pPr>
          </w:p>
        </w:tc>
        <w:tc>
          <w:tcPr>
            <w:tcW w:w="21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3,080</w:t>
            </w: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2,137,741</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1,487,082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2,030,192</w:t>
            </w:r>
          </w:p>
        </w:tc>
      </w:tr>
      <w:tr>
        <w:trPr>
          <w:trHeight w:val="26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13,041,906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9,567,223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13,353,471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9,194,237</w:t>
            </w:r>
          </w:p>
        </w:tc>
      </w:tr>
      <w:tr>
        <w:trPr>
          <w:trHeight w:val="20"/>
        </w:trPr>
        <w:tc>
          <w:tcPr>
            <w:tcW w:w="48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2022, filed with the Securities and Exchange Commission, or the SEC, on March 1, 2023.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4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390 with at least 1,000 covered lives. We currently provide coverage to approximately 5.4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+82 for our fertility benefits solution and +79 for our integrated pharmacy benefits solution, Progyny Rx as of December 31, 2022. Our members experience healthier pregnancies and superior rates of pregnancy and live births, as well as reduced rates of miscarriages and multiple births, saving valuable time and money and limiting personal and professional disruption.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Provider Clinic</w:t>
            </w: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National Averages</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Provider Clinic</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Averages</w:t>
            </w:r>
          </w:p>
        </w:tc>
      </w:tr>
      <w:tr>
        <w:trPr>
          <w:trHeight w:val="17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for All Provider</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Averages</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for Progyny</w:t>
            </w:r>
          </w:p>
        </w:tc>
      </w:tr>
      <w:tr>
        <w:trPr>
          <w:trHeight w:val="21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Outcome</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Clinics</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All Patients</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Members Only</w:t>
            </w:r>
            <w:r>
              <w:rPr>
                <w:rFonts w:ascii="Arial" w:cs="Arial" w:eastAsia="Arial" w:hAnsi="Arial"/>
                <w:sz w:val="18"/>
                <w:szCs w:val="18"/>
                <w:b w:val="1"/>
                <w:bCs w:val="1"/>
                <w:color w:val="auto"/>
                <w:w w:val="91"/>
                <w:vertAlign w:val="superscript"/>
              </w:rPr>
              <w:t>(3)</w:t>
            </w:r>
          </w:p>
        </w:tc>
      </w:tr>
      <w:tr>
        <w:trPr>
          <w:trHeight w:val="250"/>
        </w:trPr>
        <w:tc>
          <w:tcPr>
            <w:tcW w:w="548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Live birth rate per attempted retrieval</w:t>
            </w:r>
            <w:r>
              <w:rPr>
                <w:rFonts w:ascii="Arial" w:cs="Arial" w:eastAsia="Arial" w:hAnsi="Arial"/>
                <w:sz w:val="23"/>
                <w:szCs w:val="23"/>
                <w:color w:val="auto"/>
                <w:vertAlign w:val="superscript"/>
              </w:rPr>
              <w:t>(2)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56"/>
        </w:trPr>
        <w:tc>
          <w:tcPr>
            <w:tcW w:w="5480" w:type="dxa"/>
            <w:vAlign w:val="bottom"/>
          </w:tcPr>
          <w:p>
            <w:pPr>
              <w:ind w:left="20"/>
              <w:spacing w:after="0" w:line="256" w:lineRule="exact"/>
              <w:rPr>
                <w:sz w:val="20"/>
                <w:szCs w:val="20"/>
                <w:color w:val="auto"/>
              </w:rPr>
            </w:pPr>
            <w:r>
              <w:rPr>
                <w:rFonts w:ascii="Arial" w:cs="Arial" w:eastAsia="Arial" w:hAnsi="Arial"/>
                <w:sz w:val="18"/>
                <w:szCs w:val="18"/>
                <w:color w:val="auto"/>
              </w:rPr>
              <w:t>Single embryo transfer rate</w:t>
            </w:r>
            <w:r>
              <w:rPr>
                <w:rFonts w:ascii="Arial" w:cs="Arial" w:eastAsia="Arial" w:hAnsi="Arial"/>
                <w:sz w:val="23"/>
                <w:szCs w:val="23"/>
                <w:color w:val="auto"/>
                <w:vertAlign w:val="superscript"/>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93.9%</w:t>
            </w: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Pregnancy rate per IVF transfer</w:t>
            </w:r>
            <w:r>
              <w:rPr>
                <w:rFonts w:ascii="Arial" w:cs="Arial" w:eastAsia="Arial" w:hAnsi="Arial"/>
                <w:sz w:val="23"/>
                <w:szCs w:val="23"/>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57"/>
        </w:trPr>
        <w:tc>
          <w:tcPr>
            <w:tcW w:w="5480" w:type="dxa"/>
            <w:vAlign w:val="bottom"/>
          </w:tcPr>
          <w:p>
            <w:pPr>
              <w:ind w:left="20"/>
              <w:spacing w:after="0" w:line="256" w:lineRule="exact"/>
              <w:rPr>
                <w:sz w:val="20"/>
                <w:szCs w:val="20"/>
                <w:color w:val="auto"/>
              </w:rPr>
            </w:pPr>
            <w:r>
              <w:rPr>
                <w:rFonts w:ascii="Arial" w:cs="Arial" w:eastAsia="Arial" w:hAnsi="Arial"/>
                <w:sz w:val="18"/>
                <w:szCs w:val="18"/>
                <w:color w:val="auto"/>
              </w:rPr>
              <w:t>Miscarriage rate</w:t>
            </w:r>
            <w:r>
              <w:rPr>
                <w:rFonts w:ascii="Arial" w:cs="Arial" w:eastAsia="Arial" w:hAnsi="Arial"/>
                <w:sz w:val="23"/>
                <w:szCs w:val="23"/>
                <w:color w:val="auto"/>
                <w:vertAlign w:val="superscript"/>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56"/>
        </w:trPr>
        <w:tc>
          <w:tcPr>
            <w:tcW w:w="5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Live birth rate per transfer</w:t>
            </w:r>
            <w:r>
              <w:rPr>
                <w:rFonts w:ascii="Arial" w:cs="Arial" w:eastAsia="Arial" w:hAnsi="Arial"/>
                <w:sz w:val="23"/>
                <w:szCs w:val="23"/>
                <w:color w:val="auto"/>
                <w:vertAlign w:val="superscript"/>
              </w:rPr>
              <w:t>(2)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325"/>
        </w:trPr>
        <w:tc>
          <w:tcPr>
            <w:tcW w:w="5480" w:type="dxa"/>
            <w:vAlign w:val="bottom"/>
          </w:tcPr>
          <w:p>
            <w:pPr>
              <w:ind w:left="20"/>
              <w:spacing w:after="0"/>
              <w:rPr>
                <w:sz w:val="20"/>
                <w:szCs w:val="20"/>
                <w:color w:val="auto"/>
              </w:rPr>
            </w:pPr>
            <w:r>
              <w:rPr>
                <w:rFonts w:ascii="Arial" w:cs="Arial" w:eastAsia="Arial" w:hAnsi="Arial"/>
                <w:sz w:val="18"/>
                <w:szCs w:val="18"/>
                <w:color w:val="auto"/>
              </w:rPr>
              <w:t>IVF multiples rate</w:t>
            </w:r>
            <w:r>
              <w:rPr>
                <w:rFonts w:ascii="Arial" w:cs="Arial" w:eastAsia="Arial" w:hAnsi="Arial"/>
                <w:sz w:val="23"/>
                <w:szCs w:val="23"/>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42"/>
        </w:trPr>
        <w:tc>
          <w:tcPr>
            <w:tcW w:w="548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4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2020 National Summary Report, finalized in 2023.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based on CDC, 2021 National Summary and Clinic Data Sets, published in 2023.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2022.</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Fertility Benefits Solution</w:t>
      </w:r>
      <w:r>
        <w:rPr>
          <w:rFonts w:ascii="Arial" w:cs="Arial" w:eastAsia="Arial" w:hAnsi="Arial"/>
          <w:sz w:val="17"/>
          <w:szCs w:val="17"/>
          <w:color w:val="auto"/>
        </w:rPr>
        <w:t>. Our fertility benefits solution includes providing members with access to effective and cost-efficient fertility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Pharmacy Benefits Solution. </w:t>
      </w:r>
      <w:r>
        <w:rPr>
          <w:rFonts w:ascii="Arial" w:cs="Arial" w:eastAsia="Arial" w:hAnsi="Arial"/>
          <w:sz w:val="18"/>
          <w:szCs w:val="18"/>
          <w:color w:val="auto"/>
        </w:rPr>
        <w:t>We went live with our integrated pharmacy benefits solution in 2018. Progyny Rx can only be purchased by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serve over 390 employers with at least 1,000 covered lives in the United States across more than 40 industries.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clients, who are industry leaders across both high-growth and mature industries and who range in size from approximately 1,000 to 600,000 employees, represent approximately 5.4 million covered lives.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 employees. With respect to the fertility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Population-Based Component. </w:t>
      </w:r>
      <w:r>
        <w:rPr>
          <w:rFonts w:ascii="Arial" w:cs="Arial" w:eastAsia="Arial" w:hAnsi="Arial"/>
          <w:sz w:val="18"/>
          <w:szCs w:val="18"/>
          <w:color w:val="auto"/>
        </w:rPr>
        <w:t>Clients who purchase our fertility benefits solution also typically pay us a per employee per month fee, or PEPM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six months ended June 30, 2023 and 2022, respectively.</w:t>
      </w:r>
    </w:p>
    <w:p>
      <w:pPr>
        <w:spacing w:after="0" w:line="18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202"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plan year start.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Member and Client Base. </w:t>
      </w:r>
      <w:r>
        <w:rPr>
          <w:rFonts w:ascii="Arial" w:cs="Arial" w:eastAsia="Arial" w:hAnsi="Arial"/>
          <w:sz w:val="17"/>
          <w:szCs w:val="17"/>
          <w:color w:val="auto"/>
        </w:rPr>
        <w:t>Our addressable market is primarily large self-insured employers as well as labor populations under the Labor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Relations Act of 1947 (also known as the Taft-Hartley Act). There are approximately 8,000 employers in the United States who have a minimum of 1,000 employees, who together with Taft-Hartley labor populations, represent approximately 100 million potential covered lives in total. Our current member base of approximately 5.4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2023 and December 31, 2022, we served 384 and 288 clients, respectively, representing 5,305,000 and 4,585,000 members, respectively.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b w:val="1"/>
          <w:bCs w:val="1"/>
          <w:i w:val="1"/>
          <w:iCs w:val="1"/>
          <w:color w:val="auto"/>
        </w:rPr>
        <w:t>Benefits Utilization</w:t>
      </w:r>
      <w:r>
        <w:rPr>
          <w:rFonts w:ascii="Arial" w:cs="Arial" w:eastAsia="Arial" w:hAnsi="Arial"/>
          <w:sz w:val="18"/>
          <w:szCs w:val="18"/>
          <w:color w:val="auto"/>
        </w:rPr>
        <w:t>. A key driver of our revenue is the number of members we serve and the rate at which they utilize their fertility benefits.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 base has grown, our membership has grown from approximately 110,000 members in 2016 when we launched our fertility benefits solution to approximately 5.3 million members as of June 30, 2023.</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the number of assisted reproductive treatment, or ART, cycles performed for Progyny members and the member utilization rates for each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0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0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46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74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2022</w:t>
            </w:r>
          </w:p>
        </w:tc>
      </w:tr>
      <w:tr>
        <w:trPr>
          <w:trHeight w:val="25"/>
        </w:trPr>
        <w:tc>
          <w:tcPr>
            <w:tcW w:w="4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46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Assisted Reproductive Treatment (ART) Cycles</w:t>
            </w:r>
            <w:r>
              <w:rPr>
                <w:rFonts w:ascii="Arial" w:cs="Arial" w:eastAsia="Arial" w:hAnsi="Arial"/>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19,316</w:t>
            </w:r>
          </w:p>
        </w:tc>
      </w:tr>
      <w:tr>
        <w:trPr>
          <w:trHeight w:val="257"/>
        </w:trPr>
        <w:tc>
          <w:tcPr>
            <w:tcW w:w="4600" w:type="dxa"/>
            <w:vAlign w:val="bottom"/>
          </w:tcPr>
          <w:p>
            <w:pPr>
              <w:ind w:left="20"/>
              <w:spacing w:after="0" w:line="256" w:lineRule="exact"/>
              <w:rPr>
                <w:sz w:val="20"/>
                <w:szCs w:val="20"/>
                <w:color w:val="auto"/>
              </w:rPr>
            </w:pPr>
            <w:r>
              <w:rPr>
                <w:rFonts w:ascii="Arial" w:cs="Arial" w:eastAsia="Arial" w:hAnsi="Arial"/>
                <w:sz w:val="18"/>
                <w:szCs w:val="18"/>
                <w:color w:val="auto"/>
              </w:rPr>
              <w:t>Utilization - All Members</w:t>
            </w:r>
            <w:r>
              <w:rPr>
                <w:rFonts w:ascii="Arial" w:cs="Arial" w:eastAsia="Arial" w:hAnsi="Arial"/>
                <w:sz w:val="23"/>
                <w:szCs w:val="23"/>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Utilization - Female Only</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480" w:type="dxa"/>
            <w:vAlign w:val="bottom"/>
          </w:tcPr>
          <w:p>
            <w:pPr>
              <w:jc w:val="right"/>
              <w:spacing w:after="0"/>
              <w:rPr>
                <w:sz w:val="20"/>
                <w:szCs w:val="20"/>
                <w:color w:val="auto"/>
              </w:rPr>
            </w:pPr>
            <w:r>
              <w:rPr>
                <w:rFonts w:ascii="Arial" w:cs="Arial" w:eastAsia="Arial" w:hAnsi="Arial"/>
                <w:sz w:val="18"/>
                <w:szCs w:val="18"/>
                <w:color w:val="auto"/>
              </w:rPr>
              <w:t>5,340,000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4,268,000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5,330,000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4,135,000</w:t>
            </w: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40" w:lineRule="exact"/>
        <w:rPr>
          <w:sz w:val="20"/>
          <w:szCs w:val="20"/>
          <w:color w:val="auto"/>
        </w:rPr>
      </w:pPr>
    </w:p>
    <w:p>
      <w:pPr>
        <w:ind w:left="340" w:right="2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170" w:lineRule="exact"/>
        <w:rPr>
          <w:rFonts w:ascii="Arial" w:cs="Arial" w:eastAsia="Arial" w:hAnsi="Arial"/>
          <w:sz w:val="18"/>
          <w:szCs w:val="18"/>
          <w:color w:val="auto"/>
        </w:rPr>
      </w:pPr>
    </w:p>
    <w:p>
      <w:pPr>
        <w:ind w:left="340" w:right="18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COVID-19, including variants, and related restrictions had a negative impact on our revenue growth in the past, including for the six months ended June 30,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on the various risks posed by the COVID-19 pandemic, please refer to Part II, Item 1A. "Risk Factors"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includes fertility benefits solution revenue, pharmacy benefits solution revenue and PEPM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cost of services has three primary components: (1) fertility benefits services; (2) pharmacy benefits services; and (3) vendor rebates.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Benefits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Benefits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facilities costs. We anticipate that we will incur additional general and administrative expenses on an ongoing basis as a public company and to support the growth of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primarily includes interest income and expense as well as investment income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279,373</w:t>
            </w: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195,004</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537,767</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367,221</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gridSpan w:val="3"/>
          </w:tcPr>
          <w:p>
            <w:pPr>
              <w:ind w:left="20"/>
              <w:spacing w:after="0" w:line="256"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151,117</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418,486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290,385</w:t>
            </w:r>
          </w:p>
        </w:tc>
        <w:tc>
          <w:tcPr>
            <w:tcW w:w="0" w:type="dxa"/>
            <w:vAlign w:val="bottom"/>
          </w:tcPr>
          <w:p>
            <w:pPr>
              <w:spacing w:after="0"/>
              <w:rPr>
                <w:sz w:val="1"/>
                <w:szCs w:val="1"/>
                <w:color w:val="auto"/>
              </w:rPr>
            </w:pPr>
          </w:p>
        </w:tc>
      </w:tr>
      <w:tr>
        <w:trPr>
          <w:trHeight w:val="25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76,836</w:t>
            </w:r>
          </w:p>
        </w:tc>
        <w:tc>
          <w:tcPr>
            <w:tcW w:w="0" w:type="dxa"/>
            <w:vAlign w:val="bottom"/>
          </w:tcPr>
          <w:p>
            <w:pPr>
              <w:spacing w:after="0"/>
              <w:rPr>
                <w:sz w:val="1"/>
                <w:szCs w:val="1"/>
                <w:color w:val="auto"/>
              </w:rPr>
            </w:pPr>
          </w:p>
        </w:tc>
      </w:tr>
      <w:tr>
        <w:trPr>
          <w:trHeight w:val="250"/>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Sales and marketing</w:t>
            </w:r>
          </w:p>
        </w:tc>
        <w:tc>
          <w:tcPr>
            <w:tcW w:w="3240" w:type="dxa"/>
            <w:vAlign w:val="bottom"/>
            <w:shd w:val="clear" w:color="auto" w:fill="CCEEFF"/>
          </w:tcPr>
          <w:p>
            <w:pPr>
              <w:jc w:val="right"/>
              <w:ind w:right="3042"/>
              <w:spacing w:after="0"/>
              <w:rPr>
                <w:sz w:val="20"/>
                <w:szCs w:val="20"/>
                <w:color w:val="auto"/>
              </w:rPr>
            </w:pPr>
            <w:r>
              <w:rPr>
                <w:rFonts w:ascii="Arial" w:cs="Arial" w:eastAsia="Arial" w:hAnsi="Arial"/>
                <w:sz w:val="12"/>
                <w:szCs w:val="12"/>
                <w:color w:val="auto"/>
                <w:w w:val="81"/>
                <w:shd w:val="clear" w:color="auto" w:fill="CCEEFF"/>
              </w:rPr>
              <w:t>(1)</w:t>
            </w: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68"/>
        </w:trPr>
        <w:tc>
          <w:tcPr>
            <w:tcW w:w="180" w:type="dxa"/>
            <w:vAlign w:val="bottom"/>
            <w:tcBorders>
              <w:bottom w:val="single" w:sz="8" w:color="CCEEFF"/>
            </w:tcBorders>
            <w:shd w:val="clear" w:color="auto" w:fill="CCEEFF"/>
          </w:tcPr>
          <w:p>
            <w:pPr>
              <w:spacing w:after="0"/>
              <w:rPr>
                <w:sz w:val="5"/>
                <w:szCs w:val="5"/>
                <w:color w:val="auto"/>
              </w:rPr>
            </w:pPr>
          </w:p>
        </w:tc>
        <w:tc>
          <w:tcPr>
            <w:tcW w:w="1460" w:type="dxa"/>
            <w:vAlign w:val="bottom"/>
            <w:tcBorders>
              <w:bottom w:val="single" w:sz="8" w:color="CCEEFF"/>
            </w:tcBorders>
            <w:vMerge w:val="continue"/>
            <w:shd w:val="clear" w:color="auto" w:fill="CCEEFF"/>
          </w:tcPr>
          <w:p>
            <w:pPr>
              <w:spacing w:after="0"/>
              <w:rPr>
                <w:sz w:val="5"/>
                <w:szCs w:val="5"/>
                <w:color w:val="auto"/>
              </w:rPr>
            </w:pPr>
          </w:p>
        </w:tc>
        <w:tc>
          <w:tcPr>
            <w:tcW w:w="32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tcPr>
          <w:p>
            <w:pPr>
              <w:spacing w:after="0"/>
              <w:rPr>
                <w:sz w:val="23"/>
                <w:szCs w:val="23"/>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30,073</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23,553</w:t>
            </w:r>
          </w:p>
        </w:tc>
        <w:tc>
          <w:tcPr>
            <w:tcW w:w="2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46,545</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35,049</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c>
          <w:tcPr>
            <w:tcW w:w="0" w:type="dxa"/>
            <w:vAlign w:val="bottom"/>
          </w:tcPr>
          <w:p>
            <w:pPr>
              <w:spacing w:after="0"/>
              <w:rPr>
                <w:sz w:val="1"/>
                <w:szCs w:val="1"/>
                <w:color w:val="auto"/>
              </w:rPr>
            </w:pPr>
          </w:p>
        </w:tc>
      </w:tr>
      <w:tr>
        <w:trPr>
          <w:trHeight w:val="250"/>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57"/>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14,991</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8,768</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32,669</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13,739</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8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3"/>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5"/>
        </w:trPr>
        <w:tc>
          <w:tcPr>
            <w:tcW w:w="4880" w:type="dxa"/>
            <w:vAlign w:val="bottom"/>
            <w:tcBorders>
              <w:bottom w:val="single" w:sz="8" w:color="CCEEFF"/>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50"/>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9,842</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64"/>
        </w:trPr>
        <w:tc>
          <w:tcPr>
            <w:tcW w:w="48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31,753</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23,654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62,561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48,154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center"/>
              <w:ind w:right="256"/>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ind w:left="1020"/>
              <w:spacing w:after="0"/>
              <w:rPr>
                <w:sz w:val="20"/>
                <w:szCs w:val="20"/>
                <w:color w:val="auto"/>
              </w:rPr>
            </w:pPr>
            <w:r>
              <w:rPr>
                <w:rFonts w:ascii="Arial" w:cs="Arial" w:eastAsia="Arial" w:hAnsi="Arial"/>
                <w:sz w:val="14"/>
                <w:szCs w:val="14"/>
                <w:b w:val="1"/>
                <w:bCs w:val="1"/>
                <w:color w:val="auto"/>
                <w:w w:val="97"/>
              </w:rPr>
              <w:t>Six Months Ended</w:t>
            </w:r>
          </w:p>
        </w:tc>
        <w:tc>
          <w:tcPr>
            <w:tcW w:w="98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3"/>
          </w:tcPr>
          <w:p>
            <w:pPr>
              <w:ind w:left="134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5540" w:type="dxa"/>
            <w:vAlign w:val="bottom"/>
            <w:gridSpan w:val="2"/>
          </w:tcPr>
          <w:p>
            <w:pPr>
              <w:ind w:left="5260"/>
              <w:spacing w:after="0"/>
              <w:rPr>
                <w:sz w:val="20"/>
                <w:szCs w:val="20"/>
                <w:color w:val="auto"/>
              </w:rPr>
            </w:pPr>
            <w:r>
              <w:rPr>
                <w:rFonts w:ascii="Arial" w:cs="Arial" w:eastAsia="Arial" w:hAnsi="Arial"/>
                <w:sz w:val="14"/>
                <w:szCs w:val="14"/>
                <w:b w:val="1"/>
                <w:bCs w:val="1"/>
                <w:color w:val="auto"/>
                <w:w w:val="83"/>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2"/>
              <w:spacing w:after="0"/>
              <w:rPr>
                <w:sz w:val="20"/>
                <w:szCs w:val="20"/>
                <w:color w:val="auto"/>
              </w:rPr>
            </w:pPr>
            <w:r>
              <w:rPr>
                <w:rFonts w:ascii="Arial" w:cs="Arial" w:eastAsia="Arial" w:hAnsi="Arial"/>
                <w:sz w:val="14"/>
                <w:szCs w:val="14"/>
                <w:b w:val="1"/>
                <w:bCs w:val="1"/>
                <w:color w:val="auto"/>
                <w:w w:val="89"/>
              </w:rPr>
              <w:t>2022</w:t>
            </w:r>
          </w:p>
        </w:tc>
        <w:tc>
          <w:tcPr>
            <w:tcW w:w="1620" w:type="dxa"/>
            <w:vAlign w:val="bottom"/>
            <w:gridSpan w:val="2"/>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6"/>
        </w:trPr>
        <w:tc>
          <w:tcPr>
            <w:tcW w:w="4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5"/>
        </w:trPr>
        <w:tc>
          <w:tcPr>
            <w:tcW w:w="554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Consolidated Statements of Operations Data, as a</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1"/>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percentage of revenue: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3"/>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79.1</w:t>
            </w: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1620" w:type="dxa"/>
            <w:vAlign w:val="bottom"/>
            <w:tcBorders>
              <w:bottom w:val="single" w:sz="8" w:color="CCEEFF"/>
            </w:tcBorders>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16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15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12.7</w:t>
            </w:r>
          </w:p>
        </w:tc>
      </w:tr>
      <w:tr>
        <w:trPr>
          <w:trHeight w:val="257"/>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r>
      <w:tr>
        <w:trPr>
          <w:trHeight w:val="24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620" w:type="dxa"/>
            <w:vAlign w:val="bottom"/>
            <w:gridSpan w:val="2"/>
          </w:tcPr>
          <w:p>
            <w:pPr>
              <w:jc w:val="right"/>
              <w:ind w:right="1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1620" w:type="dxa"/>
            <w:vAlign w:val="bottom"/>
            <w:gridSpan w:val="2"/>
          </w:tcPr>
          <w:p>
            <w:pPr>
              <w:jc w:val="right"/>
              <w:ind w:right="11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57"/>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1"/>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Adjusted EBITDA as net income, adjusted to exclude depreciation and amortization, stock-based compensation expense, other (income) expense, net, interest income, net, and provision (benefit) for income taxes.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presents a reconciliation of Adjusted EBITDA to net income, the most directly comparable financial measure stated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for each of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86"/>
        </w:trPr>
        <w:tc>
          <w:tcPr>
            <w:tcW w:w="4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4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4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14,991</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Add: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50"/>
        </w:trPr>
        <w:tc>
          <w:tcPr>
            <w:tcW w:w="4880" w:type="dxa"/>
            <w:vAlign w:val="bottom"/>
          </w:tcPr>
          <w:p>
            <w:pPr>
              <w:ind w:left="1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31,753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23,654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62,561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48,154</w:t>
            </w:r>
          </w:p>
        </w:tc>
      </w:tr>
      <w:tr>
        <w:trPr>
          <w:trHeight w:val="25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(1,277)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488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r>
      <w:tr>
        <w:trPr>
          <w:trHeight w:val="257"/>
        </w:trPr>
        <w:tc>
          <w:tcPr>
            <w:tcW w:w="48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47,464</w:t>
            </w:r>
          </w:p>
        </w:tc>
        <w:tc>
          <w:tcPr>
            <w:tcW w:w="10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32,878</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93,824</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57,684</w:t>
            </w:r>
          </w:p>
        </w:tc>
      </w:tr>
      <w:tr>
        <w:trPr>
          <w:trHeight w:val="20"/>
        </w:trPr>
        <w:tc>
          <w:tcPr>
            <w:tcW w:w="48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980" w:type="dxa"/>
            <w:vAlign w:val="bottom"/>
            <w:gridSpan w:val="3"/>
          </w:tcPr>
          <w:p>
            <w:pPr>
              <w:jc w:val="center"/>
              <w:ind w:left="1024"/>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480" w:type="dxa"/>
            <w:vAlign w:val="bottom"/>
          </w:tcPr>
          <w:p>
            <w:pPr>
              <w:spacing w:after="0"/>
              <w:rPr>
                <w:sz w:val="24"/>
                <w:szCs w:val="2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increased by $84.4 million, or 43%, for the three months ended June 30, 2023 compared to the three months ended June 30, 2022. This increase is primarily due to a $45.9 million, or 36%, increase in revenue from our fertility benefits solution and a $38.4 million, or 56%,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480" w:type="dxa"/>
            <w:vAlign w:val="bottom"/>
          </w:tcPr>
          <w:p>
            <w:pPr>
              <w:spacing w:after="0"/>
              <w:rPr>
                <w:sz w:val="23"/>
                <w:szCs w:val="23"/>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increased by $67.6 million, or 45%, for the three months ended June 30, 2023 compared to the three months ended June 30, 2022 primarily due to an increase in medical treatment and pharmacy prescription costs associated with fertility treatments delivered. This increase was also attributable to an increase in personnel-related costs primarily due to incremental headcount as well as a $2.6 million increase in stock-based compensation expense.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32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300" w:type="dxa"/>
            <w:vAlign w:val="bottom"/>
          </w:tcPr>
          <w:p>
            <w:pPr>
              <w:spacing w:after="0"/>
              <w:rPr>
                <w:sz w:val="16"/>
                <w:szCs w:val="16"/>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30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$60,641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$43,887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0" w:type="dxa"/>
            <w:vAlign w:val="bottom"/>
          </w:tcPr>
          <w:p>
            <w:pPr>
              <w:jc w:val="right"/>
              <w:spacing w:after="0"/>
              <w:rPr>
                <w:sz w:val="20"/>
                <w:szCs w:val="20"/>
                <w:color w:val="auto"/>
              </w:rPr>
            </w:pPr>
            <w:r>
              <w:rPr>
                <w:rFonts w:ascii="Arial" w:cs="Arial" w:eastAsia="Arial" w:hAnsi="Arial"/>
                <w:sz w:val="18"/>
                <w:szCs w:val="18"/>
                <w:color w:val="auto"/>
              </w:rPr>
              <w:t>21.7 %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profit increased by $16.8 million, or 38%, for the three months ended June 30, 2023 compared to the three months ended June 30, 2022.</w:t>
      </w:r>
    </w:p>
    <w:p>
      <w:pPr>
        <w:spacing w:after="0" w:line="24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Gross margin decreased 80 basis points for the three months ended June 30, 2023 compared to the three months ended June 30, 2022, reflecting the impact of cost containment efforts that were shared with our clients, as well as incremental investments in care management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960" w:type="dxa"/>
            <w:vAlign w:val="bottom"/>
            <w:gridSpan w:val="3"/>
          </w:tcPr>
          <w:p>
            <w:pPr>
              <w:jc w:val="center"/>
              <w:ind w:left="1004"/>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$15,384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 increased by $3.9 million, or 34% for the three months ended June 30, 2023 compared to the three months ended June 30, 2022. This increase was primarily due to a $3.2 million increase in personnel-related costs attributable to an increase in stock-based compensation expense of $1.8 million, incremental headcount and an increase in sales commissions, as well as a $0.7 million increase in other related sales and marketing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960" w:type="dxa"/>
            <w:vAlign w:val="bottom"/>
            <w:gridSpan w:val="3"/>
          </w:tcPr>
          <w:p>
            <w:pPr>
              <w:jc w:val="center"/>
              <w:ind w:left="1004"/>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$30,073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by $6.5 million, or 28%, for the three months ended June 30, 2023 compared to the three months ended June 30, 2022. This increase was primarily due to a $4.7 million increase in personnel-related costs including an increase in stock-based compensation expense of $3.7 million, a $1.1 million increase in other related general and administrative expenses, and a $0.7 million increase in bad debt expense driven by our revenue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5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256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1"/>
              </w:rPr>
              <w:t>(dollars in thousands)</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gridSpan w:val="2"/>
            <w:shd w:val="clear" w:color="auto" w:fill="CCEEFF"/>
          </w:tcPr>
          <w:p>
            <w:pPr>
              <w:jc w:val="right"/>
              <w:ind w:right="6008"/>
              <w:spacing w:after="0"/>
              <w:rPr>
                <w:sz w:val="20"/>
                <w:szCs w:val="20"/>
                <w:color w:val="auto"/>
              </w:rPr>
            </w:pPr>
            <w:r>
              <w:rPr>
                <w:rFonts w:ascii="Arial" w:cs="Arial" w:eastAsia="Arial" w:hAnsi="Arial"/>
                <w:sz w:val="18"/>
                <w:szCs w:val="18"/>
                <w:color w:val="auto"/>
                <w:w w:val="90"/>
              </w:rPr>
              <w:t>Other income, net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7"/>
              </w:rPr>
              <w:t>$1,983</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2,951 %</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by $1.9 million for the three months ended June 30, 2023 compared to the three months ended June 30, 2022, primarily due to an increase in investment and interest income.</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960" w:type="dxa"/>
            <w:vAlign w:val="bottom"/>
            <w:gridSpan w:val="3"/>
          </w:tcPr>
          <w:p>
            <w:pPr>
              <w:jc w:val="center"/>
              <w:ind w:left="1004"/>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1,512 %</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2023, we recorded a provision for income taxes of $2.2 million, as compared to a provision for income taxes of $0.1 million for the three months ended June 30, 2022, primarily due to the higher operating profit as well as a decrease in tax benefits for equity compensation, including discrete tax benefits, in the current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2140" w:type="dxa"/>
            <w:vAlign w:val="bottom"/>
            <w:gridSpan w:val="3"/>
          </w:tcPr>
          <w:p>
            <w:pPr>
              <w:jc w:val="center"/>
              <w:ind w:left="86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480" w:type="dxa"/>
            <w:vAlign w:val="bottom"/>
          </w:tcPr>
          <w:p>
            <w:pPr>
              <w:spacing w:after="0"/>
              <w:rPr>
                <w:sz w:val="23"/>
                <w:szCs w:val="23"/>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$537,767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6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increased by $170.5 million, or 46%, for the six months ended June 30, 2023 compared to the six months ended June 30, 2022. This increase is primarily due to a $92.2 million, or 39%, increase in revenue from our fertility benefits solution and a $78.4 million, or 61%,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six months ended June 30, 2022 was negatively impacted by COVID-19.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480" w:type="dxa"/>
            <w:vAlign w:val="bottom"/>
          </w:tcPr>
          <w:p>
            <w:pPr>
              <w:spacing w:after="0"/>
              <w:rPr>
                <w:sz w:val="23"/>
                <w:szCs w:val="23"/>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$418,486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$290,385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increased by $128.1 million, or 44%, for the six months ended June 30, 2023 compared to the six months ended June 30, 2022 primarily due to an increase in medical treatment and pharmacy prescription costs associated with fertility treatments delivered. This increase in cost of services was also attributable to an increase in personnel-related costs primarily due to incremental headcount as well as a $4.7 million increase in stock-based compensation expense.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300" w:type="dxa"/>
            <w:vAlign w:val="bottom"/>
          </w:tcPr>
          <w:p>
            <w:pPr>
              <w:spacing w:after="0"/>
              <w:rPr>
                <w:sz w:val="16"/>
                <w:szCs w:val="16"/>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30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$119,281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$76,836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0" w:type="dxa"/>
            <w:vAlign w:val="bottom"/>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profit increased by $42.4 million, or 55%, for the six months ended June 30, 2023 compared to the six months ended June 30, 2022.</w:t>
      </w:r>
    </w:p>
    <w:p>
      <w:pPr>
        <w:spacing w:after="0" w:line="2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Gross margin increased 130 basis points for the six months ended June 30, 2023 compared to the six months ended June 30, 2022, primarily due to ongoing efficiencies realized in the delivery of our care management services, partially offset by the impact of cost containment efforts that were shared with our clients.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120" w:type="dxa"/>
            <w:vAlign w:val="bottom"/>
            <w:gridSpan w:val="3"/>
          </w:tcPr>
          <w:p>
            <w:pPr>
              <w:jc w:val="center"/>
              <w:ind w:left="82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212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$29,666</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 increased by $8.2 million, or 38% for the six months ended June 30, 2023 compared to the six months ended June 30, 2022. This increase was primarily due to a $6.4 million increase in personnel-related costs attributable to an increase in stock-based compensation expense of $3.6 million, incremental headcount and an increase in sales commissions, as well as a $1.8 million increase in other related sales and marketing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12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2120" w:type="dxa"/>
            <w:vAlign w:val="bottom"/>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$59,420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by $12.9 million, or 28%, for the six months ended June 30, 2023 compared to the six months ended June 30, 2022. This increase was primarily due to a $7.5 million increase in personnel-related costs including an increase in stock-based compensation expense of $6.1 million, a $3.7 million increase in bad debt expense driven by our revenue growth as well as a $1.6 million increase in other related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600" w:type="dxa"/>
            <w:vAlign w:val="bottom"/>
          </w:tcPr>
          <w:p>
            <w:pPr>
              <w:spacing w:after="0"/>
              <w:rPr>
                <w:sz w:val="23"/>
                <w:szCs w:val="23"/>
                <w:color w:val="auto"/>
              </w:rPr>
            </w:pPr>
          </w:p>
        </w:tc>
        <w:tc>
          <w:tcPr>
            <w:tcW w:w="254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1"/>
              </w:rPr>
              <w:t>(dollars in thousands)</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gridSpan w:val="2"/>
            <w:shd w:val="clear" w:color="auto" w:fill="CCEEFF"/>
          </w:tcPr>
          <w:p>
            <w:pPr>
              <w:jc w:val="right"/>
              <w:ind w:right="5368"/>
              <w:spacing w:after="0"/>
              <w:rPr>
                <w:sz w:val="20"/>
                <w:szCs w:val="20"/>
                <w:color w:val="auto"/>
              </w:rPr>
            </w:pPr>
            <w:r>
              <w:rPr>
                <w:rFonts w:ascii="Arial" w:cs="Arial" w:eastAsia="Arial" w:hAnsi="Arial"/>
                <w:sz w:val="18"/>
                <w:szCs w:val="18"/>
                <w:color w:val="auto"/>
                <w:w w:val="89"/>
              </w:rPr>
              <w:t>Other income (expense), net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87"/>
              </w:rPr>
              <w:t>$3,303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(expense), net increased by $3.3 million for the six months ended June 30, 2023 compared to the six months ended June 30, 2022, primarily due to an increase in investment and interest income.</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3"/>
                <w:szCs w:val="23"/>
                <w:color w:val="auto"/>
              </w:rPr>
            </w:pPr>
          </w:p>
        </w:tc>
        <w:tc>
          <w:tcPr>
            <w:tcW w:w="246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0"/>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gridSpan w:val="2"/>
            <w:shd w:val="clear" w:color="auto" w:fill="CCEEFF"/>
          </w:tcPr>
          <w:p>
            <w:pPr>
              <w:jc w:val="right"/>
              <w:ind w:right="4568"/>
              <w:spacing w:after="0"/>
              <w:rPr>
                <w:sz w:val="20"/>
                <w:szCs w:val="20"/>
                <w:color w:val="auto"/>
              </w:rPr>
            </w:pPr>
            <w:r>
              <w:rPr>
                <w:rFonts w:ascii="Arial" w:cs="Arial" w:eastAsia="Arial" w:hAnsi="Arial"/>
                <w:sz w:val="18"/>
                <w:szCs w:val="18"/>
                <w:color w:val="auto"/>
                <w:w w:val="97"/>
              </w:rPr>
              <w:t>(Provision) benefit for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($829)</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2023, we recorded a provision for income taxes of $0.8 million as compared to a benefit for income taxes of $5.0 million for the six months ended June 30, 2022, primarily due to the higher operating profit as well as a decrease in tax benefits for equity compensation, including discrete tax benefits, in the current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As of June 30, 2023, we had $170.6 million of cash and cash equivalents and $111.9 million of marketable securities. Since inception, we have financed our operations primarily through sales of our solutions and the net proceeds we have received from sales of equity securities, including our initial public offering.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0"/>
          <w:szCs w:val="20"/>
          <w:color w:val="auto"/>
          <w:vertAlign w:val="superscript"/>
        </w:rPr>
        <w:t>st</w:t>
      </w:r>
      <w:r>
        <w:rPr>
          <w:rFonts w:ascii="Arial" w:cs="Arial" w:eastAsia="Arial" w:hAnsi="Arial"/>
          <w:sz w:val="16"/>
          <w:szCs w:val="16"/>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believe that our existing cash and cash equivalents,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than the prior impact on our revenue growth and the related cash flows resulting from the various restrictions on activities due to the COVID-19 pandemic, as of June 30, 2023, our sources and uses of cash were not otherwise materially impacted by the COVID-19 pandemic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refer to Part II, Item 1A. "Risk Factors" included in this Quarterly Report on Form 10-Q.</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from operations for the periods presented:</w:t>
      </w:r>
    </w:p>
    <w:p>
      <w:pPr>
        <w:spacing w:after="0" w:line="271"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5"/>
        </w:trPr>
        <w:tc>
          <w:tcPr>
            <w:tcW w:w="8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3"/>
                <w:szCs w:val="23"/>
                <w:color w:val="auto"/>
              </w:rPr>
            </w:pPr>
          </w:p>
        </w:tc>
      </w:tr>
      <w:tr>
        <w:trPr>
          <w:trHeight w:val="26"/>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96,973</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(40,817)</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50,492</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cash provided by operating activities was $97.0 million for the six months ended June 30, 2023, primarily consisting of net income of $32.7 million adjusted for certain items, which include $62.6 million of stock-based compensation expense, $9.8 million of bad debt expense, $1.3 million of realized gains on the sale of marketable securities, $1.1 million of depreciation and amortization, and $0.8 million of deferred tax expense. Changes in operating assets and liabilities resulted in cash used in operating activities from increases in accounts receivable of $34.7 million and prepaid expenses and other current assets of $9.2 million, partially offset by cash provided by operating activities from increases in accounts payable of $20.9 million, accrued expenses and other current liabilities of $13.8 million, and other noncurrent assets and liabilities of $0.6 million. These changes were a result of the impact of revenue growth and our operating results as well as new agreements with our pharmacy program partners, which included more favorable payment receipt terms and resulted in an additional receipt in the six months ended June 30, 2023, and the timing of cash collections and payments to third parties.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provided by operating activities was $8.0 million for the six months ended June 30, 2022, primarily consisting of net income of $13.7 million adjusted for certain non-cash items, which include $48.2 million of stock-based compensation expense, $6.1 million of bad debt expense, $5.1 million of deferred tax benefit, and $0.8 million of depreciation and amortization. Changes in operating assets and liabilities resulted in cash used in operating activities from increases in accounts receivable of $101.4 million and other noncurrent assets and liabilities of $1.4 million, partially offset by cash provided by operating activities from increases in accounts payable of $31.1 million and accrued expenses and other current liabilities of $15.6 million, and a decrease in prepaid expenses and other current assets of $0.4 million. These changes were a result of the impact of revenue growth and our operating results as well as the timing of cash collections and payments to third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$42.8 million and $40.8 million for the six months ended June 30, 2023 and June 30, 2022 respectively, which primarily consisted of net investments in marketable securities of $40.8 million and $39.5 million, respectively. The remainder of the activity for each of the six months ended June 30, 2023 and June 30, 2022 consisted of purchases of computers, software, including capitalized software development costs, and leasehold improvements.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$3.7 million for the six months ended June 30, 2023, consisting of payments of $7.4 million for employee taxes related to equity awards, partially offset by $3.1 million in proceeds from stock option exercises and $0.6 million in proceeds from contributions to our employee stock purchase plan.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$3.9 million for the six months ended June 30, 2022, consisting of payments of $5.6 million for employee taxes related to equity awards, partially offset by $1.2 million in proceeds from stock option exercises and $0.6 million in proceeds from contributions to our employee stock purchase plan.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April 2024 for five years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Interest rate risk is highly sensitive due to many factors, including U.S. monetary and tax policies, U.S. and international economic factors and other factors beyond our control.</w:t>
      </w:r>
    </w:p>
    <w:p>
      <w:pPr>
        <w:spacing w:after="0" w:line="170"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color w:val="auto"/>
        </w:rPr>
        <w:t>At June 30, 2023, we had cash and cash equivalents of $170.6 million and marketable securities of $111.9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60"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quarter ended June 30, 2023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Part I, Item 1 “Financial Statements (Unaudited) — Note 6 —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We have provided and may continue to provide guidance about our business and future results of operations. On August 3, 2023, we issued guidance for the third quarter of 2023 and full year 2023.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COVID-19 pandemic continues to evolve, with pockets of resurgence and the emergence of variant strains contributing to continued uncertainty about its scope, duration, severity, trajectory and lasting impact. The pandemic has adversely impacted, and may continue to adversely impact, many aspects of our business. Our revenue growth in past periods, including for the six months ended June 30, 2022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Emerging research and the limited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factors could affect member behavior, our utilization rates and the number of members enrolled in our clients’ benefit plans.</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corporate offices are open to employees on a hybrid basis, while implementing additional health and safety measures and protocols in response to the pandemic. We may take further actions that alter our operations as may be required by federal, state, or local authorities, or which we determine are in the best interests of our business, our employees and the communities we serve. Working remotely could increase our cybersecurity risk and make us more susceptible to communication disruptions, which could adversely impact our business operations or delay necessary interactions with our clients, members, providers and other third parties. Furthermore, we may decide to postpone or cancel planned investments in our business in response to changes in our business as a result of the COVID-19 pandemic, which may impact our member utilization and rate of growth, either of which could seriously harm our business.</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global impact of COVID-19, due to variants and resurgences of infections,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effects of the COVID-19 pandemic may eventually be contained or mitigated, there is no guarantee that any future resurgences or future outbreaks of this or any other widespread epidemics or pandemics will not occur, or that the global economy will recover, either of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fertility market in which we participate is competitive, and if we do not continue to compete effectively, our results of operations could be harmed.</w:t>
      </w:r>
    </w:p>
    <w:p>
      <w:pPr>
        <w:spacing w:after="0" w:line="26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inflation, consumer confidence, international trade relations, political turmoil, natural catastrophes, resurgences or outbreaks of contagious diseases or the worsening thereof, including the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90% of our current clients have now launched this solution, including approximately 97% of the clients we signed in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Factors that may affect our ability to retain our existing clients and sell additional solutions to them include, but are not limited to, the following:</w:t>
      </w:r>
    </w:p>
    <w:p>
      <w:pPr>
        <w:spacing w:after="0" w:line="2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complementary solutions and services that will enhance our comprehensive family building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economic conditions and the business environment of our clients and, in particular, slowing growth or reduction in our clients’ headcount;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currently serve over 390 employers with at least 1,000 covered lives in the United States across more than 40 industries. For the six months ended June 30, 2023, one of our clients accounted for 13% of our total revenue. For the six months ended June 30, 2022, two of our clients accounted for 17% and 11%, or a combined 28%, of our total revenue. No other clients accounted for more than 10% of our total revenue for the six months ended June 30, 2023 and 2022.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with our current platform of solutions, which makes it difficult to predict our future results of operations.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 specialists. Additionally, if we choose to in source any of the services currently handled by a third party, it may result in technological or operational disruptions.</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-We operate in a highly regulated industry and must comply with a significant number of complex and evolving legal and regulatory requirements- Data Protection and Breaches.”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price our solutions and services effectively so that we are able to attract new clients, expand sales to our existing clients and maintain profitability;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our clients and members with client support that meets their needs, including through dedicated PCAs;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Additionally, in June 2022 the U.S. Supreme Court in </w:t>
      </w:r>
      <w:r>
        <w:rPr>
          <w:rFonts w:ascii="Arial" w:cs="Arial" w:eastAsia="Arial" w:hAnsi="Arial"/>
          <w:sz w:val="17"/>
          <w:szCs w:val="17"/>
          <w:i w:val="1"/>
          <w:iCs w:val="1"/>
          <w:color w:val="auto"/>
        </w:rPr>
        <w:t>Dobbs v. Jackson Women's Health Organization</w:t>
      </w:r>
      <w:r>
        <w:rPr>
          <w:rFonts w:ascii="Arial" w:cs="Arial" w:eastAsia="Arial" w:hAnsi="Arial"/>
          <w:sz w:val="17"/>
          <w:szCs w:val="17"/>
          <w:color w:val="auto"/>
        </w:rPr>
        <w:t xml:space="preserve"> reversed </w:t>
      </w:r>
      <w:r>
        <w:rPr>
          <w:rFonts w:ascii="Arial" w:cs="Arial" w:eastAsia="Arial" w:hAnsi="Arial"/>
          <w:sz w:val="17"/>
          <w:szCs w:val="17"/>
          <w:i w:val="1"/>
          <w:iCs w:val="1"/>
          <w:color w:val="auto"/>
        </w:rPr>
        <w:t>Roe v. Wade</w:t>
      </w:r>
      <w:r>
        <w:rPr>
          <w:rFonts w:ascii="Arial" w:cs="Arial" w:eastAsia="Arial" w:hAnsi="Arial"/>
          <w:sz w:val="17"/>
          <w:szCs w:val="17"/>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experiences seasonality, which may cause fluctuations in our sales and results of operations.</w:t>
      </w:r>
    </w:p>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litigation against us could be costly and time-consuming to defend and could harm our business, financial condition and results of operations.</w:t>
      </w:r>
    </w:p>
    <w:p>
      <w:pPr>
        <w:spacing w:after="0" w:line="2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successful or have merit, they will be time-consuming and costly, and could have an adverse impact on our reputation. As a result, under such circumstances, we may be unable to operate our business effectively.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1"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relationships with benefits consultants.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regulated industry and must comply with a significant number of complex and evolving legal and regulatory requirements.</w:t>
      </w:r>
    </w:p>
    <w:p>
      <w:pPr>
        <w:spacing w:after="0" w:line="24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contractual provisions related to or impacting the healthcare industry that may apply to our business activities directly or indirectly, including, but not limited to:</w:t>
      </w:r>
    </w:p>
    <w:p>
      <w:pPr>
        <w:spacing w:after="0" w:line="170" w:lineRule="exact"/>
        <w:rPr>
          <w:sz w:val="20"/>
          <w:szCs w:val="20"/>
          <w:color w:val="auto"/>
        </w:rPr>
      </w:pPr>
    </w:p>
    <w:p>
      <w:pPr>
        <w:jc w:val="both"/>
        <w:ind w:left="660" w:hanging="328"/>
        <w:spacing w:after="0" w:line="26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Licensing and Licensed Personnel</w:t>
      </w:r>
      <w:r>
        <w:rPr>
          <w:rFonts w:ascii="Arial" w:cs="Arial" w:eastAsia="Arial" w:hAnsi="Arial"/>
          <w:sz w:val="17"/>
          <w:szCs w:val="17"/>
          <w:color w:val="auto"/>
        </w:rPr>
        <w:t>. Many states have licensure or registration requirements for entities acting as a third-party administrator,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181" w:lineRule="exact"/>
        <w:rPr>
          <w:rFonts w:ascii="Arial" w:cs="Arial" w:eastAsia="Arial" w:hAnsi="Arial"/>
          <w:sz w:val="17"/>
          <w:szCs w:val="17"/>
          <w:color w:val="auto"/>
        </w:rPr>
      </w:pPr>
    </w:p>
    <w:p>
      <w:pPr>
        <w:jc w:val="both"/>
        <w:ind w:left="660"/>
        <w:spacing w:after="0" w:line="290" w:lineRule="auto"/>
        <w:rPr>
          <w:rFonts w:ascii="Arial" w:cs="Arial" w:eastAsia="Arial" w:hAnsi="Arial"/>
          <w:sz w:val="17"/>
          <w:szCs w:val="17"/>
          <w:color w:val="auto"/>
        </w:rPr>
      </w:pPr>
      <w:r>
        <w:rPr>
          <w:rFonts w:ascii="Arial" w:cs="Arial" w:eastAsia="Arial" w:hAnsi="Arial"/>
          <w:sz w:val="16"/>
          <w:szCs w:val="16"/>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65"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94" w:lineRule="exact"/>
        <w:rPr>
          <w:rFonts w:ascii="Arial" w:cs="Arial" w:eastAsia="Arial" w:hAnsi="Arial"/>
          <w:sz w:val="17"/>
          <w:szCs w:val="17"/>
          <w:color w:val="auto"/>
        </w:rPr>
      </w:pPr>
    </w:p>
    <w:p>
      <w:pPr>
        <w:ind w:left="660" w:right="60" w:hanging="328"/>
        <w:spacing w:after="0" w:line="287" w:lineRule="auto"/>
        <w:tabs>
          <w:tab w:leader="none" w:pos="660"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Regulations promulgated pursuant to HIPAA as amended, and regulations promulgated thereunder,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71" w:lineRule="exact"/>
        <w:rPr>
          <w:rFonts w:ascii="Arial" w:cs="Arial" w:eastAsia="Arial" w:hAnsi="Arial"/>
          <w:sz w:val="16"/>
          <w:szCs w:val="16"/>
          <w:b w:val="1"/>
          <w:bCs w:val="1"/>
          <w:i w:val="1"/>
          <w:iCs w:val="1"/>
          <w:color w:val="auto"/>
        </w:rPr>
      </w:pPr>
    </w:p>
    <w:p>
      <w:pPr>
        <w:jc w:val="both"/>
        <w:ind w:left="660"/>
        <w:spacing w:after="0" w:line="279" w:lineRule="auto"/>
        <w:rPr>
          <w:rFonts w:ascii="Arial" w:cs="Arial" w:eastAsia="Arial" w:hAnsi="Arial"/>
          <w:sz w:val="16"/>
          <w:szCs w:val="16"/>
          <w:b w:val="1"/>
          <w:bCs w:val="1"/>
          <w:i w:val="1"/>
          <w:iCs w:val="1"/>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2" w:lineRule="exact"/>
        <w:rPr>
          <w:sz w:val="20"/>
          <w:szCs w:val="20"/>
          <w:color w:val="auto"/>
        </w:rPr>
      </w:pPr>
    </w:p>
    <w:p>
      <w:pPr>
        <w:jc w:val="both"/>
        <w:ind w:left="660" w:hanging="328"/>
        <w:spacing w:after="0" w:line="26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 govern the collection, dissemination,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91" w:lineRule="exact"/>
        <w:rPr>
          <w:rFonts w:ascii="Arial" w:cs="Arial" w:eastAsia="Arial" w:hAnsi="Arial"/>
          <w:sz w:val="17"/>
          <w:szCs w:val="17"/>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7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Data Protection and Breaches</w:t>
      </w:r>
      <w:r>
        <w:rPr>
          <w:rFonts w:ascii="Arial" w:cs="Arial" w:eastAsia="Arial" w:hAnsi="Arial"/>
          <w:sz w:val="18"/>
          <w:szCs w:val="18"/>
          <w:color w:val="auto"/>
        </w:rPr>
        <w:t>. In recent years, there have been a number of well-publicized data breaches involving the improper dissemination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personal information of individuals both within and outside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9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95"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74"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6" w:lineRule="exact"/>
        <w:rPr>
          <w:sz w:val="20"/>
          <w:szCs w:val="20"/>
          <w:color w:val="auto"/>
        </w:rPr>
      </w:pPr>
    </w:p>
    <w:p>
      <w:pPr>
        <w:jc w:val="both"/>
        <w:ind w:left="660" w:hanging="328"/>
        <w:spacing w:after="0" w:line="30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 data content standards and provider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57"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61" w:lineRule="exact"/>
        <w:rPr>
          <w:sz w:val="20"/>
          <w:szCs w:val="20"/>
          <w:color w:val="auto"/>
        </w:rPr>
      </w:pPr>
    </w:p>
    <w:p>
      <w:pPr>
        <w:jc w:val="both"/>
        <w:ind w:left="66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 impacted directly and indirectly by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64" w:lineRule="exact"/>
        <w:rPr>
          <w:rFonts w:ascii="Arial" w:cs="Arial" w:eastAsia="Arial" w:hAnsi="Arial"/>
          <w:sz w:val="16"/>
          <w:szCs w:val="16"/>
          <w:color w:val="auto"/>
        </w:rPr>
      </w:pPr>
    </w:p>
    <w:p>
      <w:pPr>
        <w:jc w:val="both"/>
        <w:ind w:left="660"/>
        <w:spacing w:after="0" w:line="289" w:lineRule="auto"/>
        <w:rPr>
          <w:rFonts w:ascii="Arial" w:cs="Arial" w:eastAsia="Arial" w:hAnsi="Arial"/>
          <w:sz w:val="16"/>
          <w:szCs w:val="16"/>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66" w:lineRule="exact"/>
        <w:rPr>
          <w:rFonts w:ascii="Arial" w:cs="Arial" w:eastAsia="Arial" w:hAnsi="Arial"/>
          <w:sz w:val="16"/>
          <w:szCs w:val="16"/>
          <w:color w:val="auto"/>
        </w:rPr>
      </w:pPr>
    </w:p>
    <w:p>
      <w:pPr>
        <w:jc w:val="both"/>
        <w:ind w:left="660" w:hanging="328"/>
        <w:spacing w:after="0" w:line="26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 jurisdictions may find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ERISA Regulation</w:t>
      </w:r>
      <w:r>
        <w:rPr>
          <w:rFonts w:ascii="Arial" w:cs="Arial" w:eastAsia="Arial" w:hAnsi="Arial"/>
          <w:sz w:val="18"/>
          <w:szCs w:val="18"/>
          <w:color w:val="auto"/>
        </w:rPr>
        <w:t>. The Employee Retirement Income Security Act of 1974, or ERISA, regulates certain aspects of employee health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both insured and self-funded health plans sponsored by our clients, with which we have agreements to provide TPA services. As part of our agreements with a number of these clients, we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7"/>
          <w:szCs w:val="17"/>
          <w:i w:val="1"/>
          <w:iCs w:val="1"/>
          <w:color w:val="auto"/>
        </w:rPr>
        <w:t>Rutledge v. Pharm. Care Mgmt. Ass’n</w:t>
      </w:r>
      <w:r>
        <w:rPr>
          <w:rFonts w:ascii="Arial" w:cs="Arial" w:eastAsia="Arial" w:hAnsi="Arial"/>
          <w:sz w:val="17"/>
          <w:szCs w:val="17"/>
          <w:color w:val="auto"/>
        </w:rPr>
        <w:t xml:space="preserve"> established that ERISA does not preempt all state laws imposing transparency or other requirements on PBMs.</w:t>
      </w:r>
    </w:p>
    <w:p>
      <w:pPr>
        <w:spacing w:after="0" w:line="179" w:lineRule="exact"/>
        <w:rPr>
          <w:sz w:val="20"/>
          <w:szCs w:val="20"/>
          <w:color w:val="auto"/>
        </w:rPr>
      </w:pPr>
    </w:p>
    <w:p>
      <w:pPr>
        <w:jc w:val="both"/>
        <w:ind w:left="660" w:hanging="328"/>
        <w:spacing w:after="0" w:line="289"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6"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 maintain a network of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70"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 Federal Trade Commission, or FTC,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9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Restrictions on Communication</w:t>
      </w:r>
      <w:r>
        <w:rPr>
          <w:rFonts w:ascii="Arial" w:cs="Arial" w:eastAsia="Arial" w:hAnsi="Arial"/>
          <w:sz w:val="16"/>
          <w:szCs w:val="16"/>
          <w:color w:val="auto"/>
        </w:rPr>
        <w:t>. Communications with our members increasingly may be subject to and restricted by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On June 17, 2021, the U.S. Supreme Court dismissed the most recent judicial challenge to the ACA brought by several states without specifically ruling on the constitutionality of the ACA.</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 recently enacted IRA,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In June 2022, the Federal Trade Commission announced an inquiry regarding the role of PBMs and stated its intent to closely scrutinize the impact of PBM rebates and fees on patients and payers.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Further, the U.S. Supreme Court’s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its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liabilities may have an adverse effect on our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1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relative amounts of income before taxes in the various jurisdictions in which we operate that have differing statutory tax rates;</w:t>
      </w:r>
    </w:p>
    <w:p>
      <w:pPr>
        <w:spacing w:after="0" w:line="223" w:lineRule="exact"/>
        <w:rPr>
          <w:rFonts w:ascii="Arial" w:cs="Arial" w:eastAsia="Arial" w:hAnsi="Arial"/>
          <w:sz w:val="17"/>
          <w:szCs w:val="17"/>
          <w:color w:val="auto"/>
        </w:rPr>
      </w:pPr>
    </w:p>
    <w:p>
      <w:pPr>
        <w:jc w:val="both"/>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(such as the recent Inflation Reduction Act which, among other changes, introduced a 15% corporate minimum tax on certain United States corporations and a 1% excise tax on certain stock redemptions by United States corporations);</w:t>
      </w:r>
    </w:p>
    <w:p>
      <w:pPr>
        <w:spacing w:after="0" w:line="20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pacing w:after="0" w:line="225" w:lineRule="exact"/>
        <w:rPr>
          <w:rFonts w:ascii="Arial" w:cs="Arial" w:eastAsia="Arial" w:hAnsi="Arial"/>
          <w:sz w:val="18"/>
          <w:szCs w:val="18"/>
          <w:color w:val="auto"/>
        </w:rPr>
      </w:pPr>
    </w:p>
    <w:p>
      <w:pPr>
        <w:ind w:left="660" w:right="1620" w:hanging="328"/>
        <w:spacing w:after="0" w:line="50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 Any of these developments could have an adverse effect on our results of operations.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260), Debt-Modifications and Extinguishments (Subtopic 470-50), Compensation- Stock Compensation (Topic 718), and Derivatives and Hedging-Contracts in Entity’s Own Equity (Subtopic 815- 40) </w:t>
      </w:r>
      <w:r>
        <w:rPr>
          <w:rFonts w:ascii="Arial" w:cs="Arial" w:eastAsia="Arial" w:hAnsi="Arial"/>
          <w:sz w:val="16"/>
          <w:szCs w:val="16"/>
          <w:color w:val="auto"/>
        </w:rPr>
        <w:t>as of January 1, 2022. This accounting pronouncement did not have a material impact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See Note 2 – Significant Accounting Policies included in Part I, Item 1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involvement in litigation or threats of litigation against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 incidents of terrorism, or responses to these events;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and mix of utilization of our solutions by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non-cash expenses, including stock-based compensation expense, goodwill impairments and other non-cash charges;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clients;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For example, the long-term impact of the COVID-19 pandemic is unknown at this time, but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decline.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9"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securities analysts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and 2/3% of our outstanding shares of voting stock;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Unstable market and economic conditions may impact our ability to obtain any necessary financing and adversely impact our business, financial condition and share price.</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 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restricted stock units are subject to vesting and the underlying shares of common stock are issued when the restricted stock units vest.</w:t>
      </w:r>
    </w:p>
    <w:p>
      <w:pPr>
        <w:spacing w:after="0" w:line="23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In the second quarter of 2023, we withheld shares through net settlements (where the award holder receives the net of the shares vested, after surrendering a portion of the shares back to the Company for tax withholding) for certain restricted stock units that vested.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a summary of shares surrendered back to the Company for tax withholding on restricted stock units that vested under our equity incentive plans in the three months ended June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Maximum Dollar</w:t>
            </w: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Shares That</w:t>
            </w:r>
          </w:p>
        </w:tc>
      </w:tr>
      <w:tr>
        <w:trPr>
          <w:trHeight w:val="159"/>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42"/>
              <w:spacing w:after="0" w:line="159"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3"/>
                <w:szCs w:val="13"/>
                <w:color w:val="auto"/>
              </w:rPr>
            </w:pPr>
          </w:p>
        </w:tc>
        <w:tc>
          <w:tcPr>
            <w:tcW w:w="14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w w:val="93"/>
              </w:rPr>
              <w:t>Average Price Paid per</w:t>
            </w:r>
          </w:p>
        </w:tc>
        <w:tc>
          <w:tcPr>
            <w:tcW w:w="12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3"/>
                <w:szCs w:val="13"/>
                <w:color w:val="auto"/>
              </w:rPr>
            </w:pPr>
          </w:p>
        </w:tc>
        <w:tc>
          <w:tcPr>
            <w:tcW w:w="15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May Yet Be Purchased</w:t>
            </w:r>
          </w:p>
        </w:tc>
      </w:tr>
      <w:tr>
        <w:trPr>
          <w:trHeight w:val="21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xml:space="preserve">Shares Repurchased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Under the Program</w:t>
            </w:r>
          </w:p>
        </w:tc>
      </w:tr>
      <w:tr>
        <w:trPr>
          <w:trHeight w:val="263"/>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through April 30, 2023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through June 30, 2023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80"/>
              <w:spacing w:after="0"/>
              <w:rPr>
                <w:sz w:val="20"/>
                <w:szCs w:val="20"/>
                <w:color w:val="auto"/>
              </w:rPr>
            </w:pPr>
            <w:r>
              <w:rPr>
                <w:rFonts w:ascii="Arial" w:cs="Arial" w:eastAsia="Arial" w:hAnsi="Arial"/>
                <w:sz w:val="18"/>
                <w:szCs w:val="18"/>
                <w:color w:val="auto"/>
              </w:rPr>
              <w:t>Total shares repurchased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63,189</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2"/>
                <w:szCs w:val="22"/>
                <w:color w:val="auto"/>
              </w:rPr>
            </w:pPr>
          </w:p>
        </w:tc>
        <w:tc>
          <w:tcPr>
            <w:tcW w:w="1460" w:type="dxa"/>
            <w:vAlign w:val="bottom"/>
          </w:tcPr>
          <w:p>
            <w:pPr>
              <w:ind w:left="126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Represents shares withheld on net settlements of restricted stock units that vested under our 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right="400" w:hanging="320"/>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three months ended June 30 2023,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Incorporated by Reference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gridSpan w:val="10"/>
            <w:vMerge w:val="restart"/>
          </w:tcPr>
          <w:p>
            <w:pPr>
              <w:jc w:val="right"/>
              <w:ind w:right="19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1"/>
                <w:szCs w:val="11"/>
                <w:color w:val="auto"/>
              </w:rPr>
            </w:pP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1"/>
                <w:szCs w:val="11"/>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220" w:type="dxa"/>
            <w:vAlign w:val="bottom"/>
          </w:tcPr>
          <w:p>
            <w:pPr>
              <w:ind w:left="440"/>
              <w:spacing w:after="0" w:line="129"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10"/>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3"/>
        </w:trPr>
        <w:tc>
          <w:tcPr>
            <w:tcW w:w="260" w:type="dxa"/>
            <w:vAlign w:val="bottom"/>
          </w:tcPr>
          <w:p>
            <w:pPr>
              <w:ind w:left="20"/>
              <w:spacing w:after="0" w:line="202" w:lineRule="exact"/>
              <w:rPr>
                <w:sz w:val="20"/>
                <w:szCs w:val="20"/>
                <w:color w:val="auto"/>
              </w:rPr>
            </w:pPr>
            <w:r>
              <w:rPr>
                <w:rFonts w:ascii="Arial" w:cs="Arial" w:eastAsia="Arial" w:hAnsi="Arial"/>
                <w:sz w:val="18"/>
                <w:szCs w:val="18"/>
                <w:color w:val="auto"/>
                <w:w w:val="87"/>
              </w:rPr>
              <w:t>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16"/>
          </w:tcPr>
          <w:p>
            <w:pPr>
              <w:spacing w:after="0" w:line="202"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Amended and Restated Certificate of Incorporation of Progyny,</w:t>
              </w:r>
            </w:hyperlink>
          </w:p>
        </w:tc>
        <w:tc>
          <w:tcPr>
            <w:tcW w:w="680" w:type="dxa"/>
            <w:vAlign w:val="bottom"/>
          </w:tcPr>
          <w:p>
            <w:pPr>
              <w:ind w:left="20"/>
              <w:spacing w:after="0" w:line="202" w:lineRule="exact"/>
              <w:rPr>
                <w:sz w:val="20"/>
                <w:szCs w:val="20"/>
                <w:color w:val="auto"/>
              </w:rPr>
            </w:pPr>
            <w:r>
              <w:rPr>
                <w:rFonts w:ascii="Arial" w:cs="Arial" w:eastAsia="Arial" w:hAnsi="Arial"/>
                <w:sz w:val="18"/>
                <w:szCs w:val="18"/>
                <w:color w:val="auto"/>
              </w:rPr>
              <w:t>8-K</w:t>
            </w:r>
          </w:p>
        </w:tc>
        <w:tc>
          <w:tcPr>
            <w:tcW w:w="1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001-39100</w:t>
            </w:r>
          </w:p>
        </w:tc>
        <w:tc>
          <w:tcPr>
            <w:tcW w:w="84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10/31/2019</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Inc.</w:t>
              </w:r>
            </w:hyperlink>
          </w:p>
        </w:tc>
        <w:tc>
          <w:tcPr>
            <w:tcW w:w="1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ind w:left="20"/>
              <w:spacing w:after="0"/>
              <w:rPr>
                <w:sz w:val="20"/>
                <w:szCs w:val="20"/>
                <w:color w:val="auto"/>
              </w:rPr>
            </w:pPr>
            <w:r>
              <w:rPr>
                <w:rFonts w:ascii="Arial" w:cs="Arial" w:eastAsia="Arial" w:hAnsi="Arial"/>
                <w:sz w:val="18"/>
                <w:szCs w:val="18"/>
                <w:color w:val="auto"/>
                <w:w w:val="87"/>
              </w:rPr>
              <w:t>3.2</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6"/>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By-laws of Progyny, Inc.</w:t>
              </w:r>
            </w:hyperlink>
          </w:p>
        </w:tc>
        <w:tc>
          <w:tcPr>
            <w:tcW w:w="680" w:type="dxa"/>
            <w:vAlign w:val="bottom"/>
          </w:tcPr>
          <w:p>
            <w:pPr>
              <w:ind w:left="20"/>
              <w:spacing w:after="0"/>
              <w:rPr>
                <w:sz w:val="20"/>
                <w:szCs w:val="20"/>
                <w:color w:val="auto"/>
              </w:rPr>
            </w:pPr>
            <w:r>
              <w:rPr>
                <w:rFonts w:ascii="Arial" w:cs="Arial" w:eastAsia="Arial" w:hAnsi="Arial"/>
                <w:sz w:val="18"/>
                <w:szCs w:val="18"/>
                <w:color w:val="auto"/>
              </w:rPr>
              <w:t>S-1</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9/27/2019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 w:type="dxa"/>
            <w:vAlign w:val="bottom"/>
          </w:tcPr>
          <w:p>
            <w:pPr>
              <w:ind w:left="20"/>
              <w:spacing w:after="0"/>
              <w:rPr>
                <w:sz w:val="20"/>
                <w:szCs w:val="20"/>
                <w:color w:val="auto"/>
              </w:rPr>
            </w:pPr>
            <w:r>
              <w:rPr>
                <w:rFonts w:ascii="Arial" w:cs="Arial" w:eastAsia="Arial" w:hAnsi="Arial"/>
                <w:sz w:val="18"/>
                <w:szCs w:val="18"/>
                <w:color w:val="auto"/>
                <w:w w:val="87"/>
              </w:rPr>
              <w:t>4.1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tcBorders>
              <w:top w:val="single" w:sz="8" w:color="0000EE"/>
            </w:tcBorders>
            <w:gridSpan w:val="8"/>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common stock certificate</w:t>
              </w:r>
            </w:hyperlink>
          </w:p>
        </w:tc>
        <w:tc>
          <w:tcPr>
            <w:tcW w:w="1220" w:type="dxa"/>
            <w:vAlign w:val="bottom"/>
            <w:gridSpan w:val="8"/>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tcPr>
          <w:p>
            <w:pPr>
              <w:ind w:left="20"/>
              <w:spacing w:after="0"/>
              <w:rPr>
                <w:sz w:val="20"/>
                <w:szCs w:val="20"/>
                <w:color w:val="auto"/>
              </w:rPr>
            </w:pPr>
            <w:r>
              <w:rPr>
                <w:rFonts w:ascii="Arial" w:cs="Arial" w:eastAsia="Arial" w:hAnsi="Arial"/>
                <w:sz w:val="18"/>
                <w:szCs w:val="18"/>
                <w:color w:val="auto"/>
                <w:w w:val="87"/>
              </w:rPr>
              <w:t>4.2</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Form of 2013 Preferred Stock Warrant.</w:t>
              </w:r>
            </w:hyperlink>
          </w:p>
        </w:tc>
        <w:tc>
          <w:tcPr>
            <w:tcW w:w="1900" w:type="dxa"/>
            <w:vAlign w:val="bottom"/>
            <w:gridSpan w:val="9"/>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Arial" w:cs="Arial" w:eastAsia="Arial" w:hAnsi="Arial"/>
                <w:sz w:val="18"/>
                <w:szCs w:val="18"/>
                <w:color w:val="auto"/>
                <w:w w:val="87"/>
              </w:rPr>
              <w:t>4.3</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Form of 2014 Preferred Stock Warrant.</w:t>
              </w:r>
            </w:hyperlink>
          </w:p>
        </w:tc>
        <w:tc>
          <w:tcPr>
            <w:tcW w:w="1900" w:type="dxa"/>
            <w:vAlign w:val="bottom"/>
            <w:gridSpan w:val="9"/>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Arial" w:cs="Arial" w:eastAsia="Arial" w:hAnsi="Arial"/>
                <w:sz w:val="18"/>
                <w:szCs w:val="18"/>
                <w:color w:val="auto"/>
                <w:w w:val="87"/>
              </w:rPr>
              <w:t>4.4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Form of 2015 Preferred Stock Warrant.</w:t>
              </w:r>
            </w:hyperlink>
          </w:p>
        </w:tc>
        <w:tc>
          <w:tcPr>
            <w:tcW w:w="1900" w:type="dxa"/>
            <w:vAlign w:val="bottom"/>
            <w:gridSpan w:val="9"/>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 w:type="dxa"/>
            <w:vAlign w:val="bottom"/>
          </w:tcPr>
          <w:p>
            <w:pPr>
              <w:ind w:left="20"/>
              <w:spacing w:after="0"/>
              <w:rPr>
                <w:sz w:val="20"/>
                <w:szCs w:val="20"/>
                <w:color w:val="auto"/>
              </w:rPr>
            </w:pPr>
            <w:r>
              <w:rPr>
                <w:rFonts w:ascii="Arial" w:cs="Arial" w:eastAsia="Arial" w:hAnsi="Arial"/>
                <w:sz w:val="18"/>
                <w:szCs w:val="18"/>
                <w:color w:val="auto"/>
                <w:w w:val="87"/>
              </w:rPr>
              <w:t>4.5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Borders>
              <w:bottom w:val="single" w:sz="8" w:color="0000EE"/>
            </w:tcBorders>
            <w:gridSpan w:val="13"/>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Warrant to Purchase Stock issued to Silicon Valley Bank dated</w:t>
              </w:r>
            </w:hyperlink>
          </w:p>
        </w:tc>
        <w:tc>
          <w:tcPr>
            <w:tcW w:w="220" w:type="dxa"/>
            <w:vAlign w:val="bottom"/>
            <w:gridSpan w:val="3"/>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333-233965</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1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October 9, 2013.</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7"/>
              </w:rPr>
              <w:t>Certification of Chief Executive Officer pursuant to Exchange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Act Rule 13a-14(a).</w:t>
            </w:r>
          </w:p>
        </w:tc>
        <w:tc>
          <w:tcPr>
            <w:tcW w:w="2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8"/>
              </w:rPr>
              <w:t>Certification of Chief Financial Officer pursuant to Exchange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Act Rule 13a-14(a).</w:t>
            </w:r>
          </w:p>
        </w:tc>
        <w:tc>
          <w:tcPr>
            <w:tcW w:w="2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Certification of Principal Executive Officer pursuant to 18</w:t>
            </w:r>
          </w:p>
        </w:tc>
        <w:tc>
          <w:tcPr>
            <w:tcW w:w="520" w:type="dxa"/>
            <w:vAlign w:val="bottom"/>
            <w:gridSpan w:val="7"/>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U.S.C. Section 1350.</w:t>
            </w:r>
          </w:p>
        </w:tc>
        <w:tc>
          <w:tcPr>
            <w:tcW w:w="32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8"/>
              </w:rPr>
              <w:t>Certification of Chief Financial Officer pursuant to 18 U.S.C.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Section 1350.</w:t>
            </w:r>
          </w:p>
        </w:tc>
        <w:tc>
          <w:tcPr>
            <w:tcW w:w="28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74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w w:val="97"/>
              </w:rPr>
              <w:t>Inline XBRL Taxonomy Extension Label Linkbase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w w:val="99"/>
              </w:rPr>
              <w:t>Cover Page Interactive Data File (formatted as Inline XBRL</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and contained in Exhibit 101)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660" w:type="dxa"/>
            <w:vAlign w:val="bottom"/>
            <w:gridSpan w:val="9"/>
          </w:tcPr>
          <w:p>
            <w:pPr>
              <w:spacing w:after="0"/>
              <w:rPr>
                <w:sz w:val="20"/>
                <w:szCs w:val="20"/>
                <w:color w:val="auto"/>
              </w:rPr>
            </w:pPr>
            <w:r>
              <w:rPr>
                <w:rFonts w:ascii="Arial" w:cs="Arial" w:eastAsia="Arial" w:hAnsi="Arial"/>
                <w:sz w:val="18"/>
                <w:szCs w:val="18"/>
                <w:color w:val="auto"/>
                <w:w w:val="90"/>
              </w:rPr>
              <w:t>_____________________________</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gridSpan w:val="19"/>
          </w:tcPr>
          <w:p>
            <w:pPr>
              <w:ind w:left="20"/>
              <w:spacing w:after="0"/>
              <w:rPr>
                <w:sz w:val="20"/>
                <w:szCs w:val="20"/>
                <w:color w:val="auto"/>
              </w:rPr>
            </w:pPr>
            <w:r>
              <w:rPr>
                <w:rFonts w:ascii="Arial" w:cs="Arial" w:eastAsia="Arial" w:hAnsi="Arial"/>
                <w:sz w:val="18"/>
                <w:szCs w:val="18"/>
                <w:color w:val="auto"/>
              </w:rPr>
              <w:t>Filed herewith.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gridSpan w:val="19"/>
          </w:tcPr>
          <w:p>
            <w:pPr>
              <w:ind w:left="100"/>
              <w:spacing w:after="0"/>
              <w:rPr>
                <w:sz w:val="20"/>
                <w:szCs w:val="20"/>
                <w:color w:val="auto"/>
              </w:rPr>
            </w:pPr>
            <w:r>
              <w:rPr>
                <w:rFonts w:ascii="Arial" w:cs="Arial" w:eastAsia="Arial" w:hAnsi="Arial"/>
                <w:sz w:val="18"/>
                <w:szCs w:val="18"/>
                <w:color w:val="auto"/>
              </w:rPr>
              <w:t>Furnished herewith.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40" w:type="dxa"/>
            <w:vAlign w:val="bottom"/>
            <w:gridSpan w:val="17"/>
          </w:tcPr>
          <w:p>
            <w:pPr>
              <w:jc w:val="right"/>
              <w:ind w:right="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Progyny,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p>
      <w:pPr>
        <w:spacing w:after="0" w:line="305"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23495</wp:posOffset>
            </wp:positionV>
            <wp:extent cx="3223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4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Peter Anevski</w:t>
      </w:r>
    </w:p>
    <w:p>
      <w:pPr>
        <w:spacing w:after="0" w:line="7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305"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23495</wp:posOffset>
            </wp:positionV>
            <wp:extent cx="3223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Mark Livingston</w:t>
      </w:r>
    </w:p>
    <w:p>
      <w:pPr>
        <w:spacing w:after="0" w:line="7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6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4440" w:val="left"/>
          <w:tab w:leader="none" w:pos="75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23495</wp:posOffset>
            </wp:positionV>
            <wp:extent cx="39433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Executive Chief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4840" w:val="left"/>
          <w:tab w:leader="none" w:pos="76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23495</wp:posOffset>
            </wp:positionV>
            <wp:extent cx="3703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14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ended June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20"/>
        <w:spacing w:after="0"/>
        <w:tabs>
          <w:tab w:leader="none" w:pos="4600" w:val="left"/>
          <w:tab w:leader="none" w:pos="75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17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4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Peter Anevski</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14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ended June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20"/>
        <w:spacing w:after="0"/>
        <w:tabs>
          <w:tab w:leader="none" w:pos="4620" w:val="left"/>
          <w:tab w:leader="none" w:pos="744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23495</wp:posOffset>
            </wp:positionV>
            <wp:extent cx="38919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89" Type="http://schemas.openxmlformats.org/officeDocument/2006/relationships/hyperlink" Target="http://www.sec.gov/Archives/edgar/data/1551306/000110465919058484/a19-21599_1ex3d1.htm" TargetMode="External"/><Relationship Id="rId90" Type="http://schemas.openxmlformats.org/officeDocument/2006/relationships/hyperlink" Target="http://www.sec.gov/Archives/edgar/data/1551306/000104746919005487/a2239750zex-3_4.htm" TargetMode="External"/><Relationship Id="rId91" Type="http://schemas.openxmlformats.org/officeDocument/2006/relationships/hyperlink" Target="http://www.sec.gov/Archives/edgar/data/1551306/000104746919005727/a2239825zex-4_1.htm" TargetMode="External"/><Relationship Id="rId92" Type="http://schemas.openxmlformats.org/officeDocument/2006/relationships/hyperlink" Target="http://www.sec.gov/Archives/edgar/data/1551306/000104746919005727/a2239825zex-4_2.htm" TargetMode="External"/><Relationship Id="rId93" Type="http://schemas.openxmlformats.org/officeDocument/2006/relationships/hyperlink" Target="http://www.sec.gov/Archives/edgar/data/1551306/000104746919005727/a2239825zex-4_3.htm" TargetMode="External"/><Relationship Id="rId94" Type="http://schemas.openxmlformats.org/officeDocument/2006/relationships/hyperlink" Target="http://www.sec.gov/Archives/edgar/data/1551306/000104746919005727/a2239825zex-4_4.htm" TargetMode="External"/><Relationship Id="rId95"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2023-08-04T07:40:53Z</dcterms:created>
  <dcterms:modified xsi:type="dcterms:W3CDTF">2023-08-04T07:40:53Z</dcterms:modified>
</cp:coreProperties>
</file>