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91440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0" w:lineRule="exact"/>
        <w:rPr>
          <w:sz w:val="24"/>
          <w:szCs w:val="24"/>
          <w:color w:val="auto"/>
        </w:rPr>
      </w:pPr>
    </w:p>
    <w:p>
      <w:pPr>
        <w:ind w:left="520" w:hanging="511"/>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December 31, 2019</w:t>
      </w:r>
    </w:p>
    <w:p>
      <w:pPr>
        <w:jc w:val="center"/>
        <w:ind w:right="20"/>
        <w:spacing w:after="0"/>
        <w:rPr>
          <w:sz w:val="20"/>
          <w:szCs w:val="20"/>
          <w:color w:val="auto"/>
        </w:rPr>
      </w:pPr>
      <w:r>
        <w:rPr>
          <w:rFonts w:ascii="Arial" w:cs="Arial" w:eastAsia="Arial" w:hAnsi="Arial"/>
          <w:sz w:val="14"/>
          <w:szCs w:val="14"/>
          <w:b w:val="1"/>
          <w:bCs w:val="1"/>
          <w:color w:val="auto"/>
        </w:rPr>
        <w:t>or</w:t>
      </w:r>
    </w:p>
    <w:p>
      <w:pPr>
        <w:ind w:left="2560" w:right="2100" w:hanging="2551"/>
        <w:spacing w:after="0" w:line="344" w:lineRule="auto"/>
        <w:tabs>
          <w:tab w:leader="none" w:pos="52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___________________ to ___________________</w:t>
      </w:r>
    </w:p>
    <w:p>
      <w:pPr>
        <w:ind w:left="38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2" w:lineRule="exact"/>
        <w:rPr>
          <w:sz w:val="24"/>
          <w:szCs w:val="24"/>
          <w:color w:val="auto"/>
        </w:rPr>
      </w:pPr>
    </w:p>
    <w:tbl>
      <w:tblPr>
        <w:tblLayout w:type="fixed"/>
        <w:tblInd w:w="10" w:type="dxa"/>
        <w:tblCellMar>
          <w:top w:w="0" w:type="dxa"/>
          <w:left w:w="0" w:type="dxa"/>
          <w:bottom w:w="0" w:type="dxa"/>
          <w:right w:w="0" w:type="dxa"/>
        </w:tblCellMar>
      </w:tblPr>
      <w:tr>
        <w:trPr>
          <w:trHeight w:val="47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center"/>
              <w:ind w:right="360"/>
              <w:spacing w:after="0"/>
              <w:rPr>
                <w:sz w:val="20"/>
                <w:szCs w:val="20"/>
                <w:color w:val="auto"/>
              </w:rPr>
            </w:pPr>
            <w:r>
              <w:rPr>
                <w:rFonts w:ascii="Arial" w:cs="Arial" w:eastAsia="Arial" w:hAnsi="Arial"/>
                <w:sz w:val="40"/>
                <w:szCs w:val="40"/>
                <w:b w:val="1"/>
                <w:bCs w:val="1"/>
                <w:color w:val="auto"/>
                <w:w w:val="89"/>
              </w:rPr>
              <w:t>Progyny,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3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3340" w:type="dxa"/>
            <w:vAlign w:val="bottom"/>
            <w:vMerge w:val="restart"/>
          </w:tcPr>
          <w:p>
            <w:pPr>
              <w:jc w:val="center"/>
              <w:ind w:left="1573"/>
              <w:spacing w:after="0"/>
              <w:rPr>
                <w:sz w:val="20"/>
                <w:szCs w:val="20"/>
                <w:color w:val="auto"/>
              </w:rPr>
            </w:pPr>
            <w:r>
              <w:rPr>
                <w:rFonts w:ascii="Arial" w:cs="Arial" w:eastAsia="Arial" w:hAnsi="Arial"/>
                <w:sz w:val="13"/>
                <w:szCs w:val="13"/>
                <w:b w:val="1"/>
                <w:bCs w:val="1"/>
                <w:color w:val="auto"/>
                <w:w w:val="87"/>
              </w:rPr>
              <w:t>Delaware</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vMerge w:val="restart"/>
          </w:tcPr>
          <w:p>
            <w:pPr>
              <w:jc w:val="right"/>
              <w:ind w:right="2137"/>
              <w:spacing w:after="0"/>
              <w:rPr>
                <w:sz w:val="20"/>
                <w:szCs w:val="20"/>
                <w:color w:val="auto"/>
              </w:rPr>
            </w:pPr>
            <w:r>
              <w:rPr>
                <w:rFonts w:ascii="Arial" w:cs="Arial" w:eastAsia="Arial" w:hAnsi="Arial"/>
                <w:sz w:val="13"/>
                <w:szCs w:val="13"/>
                <w:b w:val="1"/>
                <w:bCs w:val="1"/>
                <w:color w:val="auto"/>
              </w:rPr>
              <w:t>27-2220139</w:t>
            </w:r>
          </w:p>
        </w:tc>
        <w:tc>
          <w:tcPr>
            <w:tcW w:w="0" w:type="dxa"/>
            <w:vAlign w:val="bottom"/>
          </w:tcPr>
          <w:p>
            <w:pPr>
              <w:spacing w:after="0"/>
              <w:rPr>
                <w:sz w:val="1"/>
                <w:szCs w:val="1"/>
                <w:color w:val="auto"/>
              </w:rPr>
            </w:pPr>
          </w:p>
        </w:tc>
      </w:tr>
      <w:tr>
        <w:trPr>
          <w:trHeight w:val="238"/>
        </w:trPr>
        <w:tc>
          <w:tcPr>
            <w:tcW w:w="3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340" w:type="dxa"/>
            <w:vAlign w:val="bottom"/>
          </w:tcPr>
          <w:p>
            <w:pPr>
              <w:jc w:val="center"/>
              <w:ind w:left="157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tcPr>
          <w:p>
            <w:pPr>
              <w:jc w:val="center"/>
              <w:ind w:right="1557"/>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35"/>
        </w:trPr>
        <w:tc>
          <w:tcPr>
            <w:tcW w:w="3340" w:type="dxa"/>
            <w:vAlign w:val="bottom"/>
          </w:tcPr>
          <w:p>
            <w:pPr>
              <w:jc w:val="center"/>
              <w:ind w:left="155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tcPr>
          <w:p>
            <w:pPr>
              <w:jc w:val="center"/>
              <w:ind w:right="1557"/>
              <w:spacing w:after="0" w:line="135" w:lineRule="exact"/>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135"/>
        </w:trPr>
        <w:tc>
          <w:tcPr>
            <w:tcW w:w="3340" w:type="dxa"/>
            <w:vAlign w:val="bottom"/>
          </w:tcPr>
          <w:p>
            <w:pPr>
              <w:jc w:val="center"/>
              <w:ind w:left="1573"/>
              <w:spacing w:after="0" w:line="135" w:lineRule="exact"/>
              <w:rPr>
                <w:sz w:val="20"/>
                <w:szCs w:val="20"/>
                <w:color w:val="auto"/>
              </w:rPr>
            </w:pPr>
            <w:r>
              <w:rPr>
                <w:rFonts w:ascii="Arial" w:cs="Arial" w:eastAsia="Arial" w:hAnsi="Arial"/>
                <w:sz w:val="13"/>
                <w:szCs w:val="13"/>
                <w:b w:val="1"/>
                <w:bCs w:val="1"/>
                <w:color w:val="auto"/>
                <w:w w:val="86"/>
              </w:rPr>
              <w:t>1359 Broadway</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340" w:type="dxa"/>
            <w:vAlign w:val="bottom"/>
          </w:tcPr>
          <w:p>
            <w:pPr>
              <w:jc w:val="center"/>
              <w:ind w:left="1573"/>
              <w:spacing w:after="0"/>
              <w:rPr>
                <w:sz w:val="20"/>
                <w:szCs w:val="20"/>
                <w:color w:val="auto"/>
              </w:rPr>
            </w:pPr>
            <w:r>
              <w:rPr>
                <w:rFonts w:ascii="Arial" w:cs="Arial" w:eastAsia="Arial" w:hAnsi="Arial"/>
                <w:sz w:val="13"/>
                <w:szCs w:val="13"/>
                <w:b w:val="1"/>
                <w:bCs w:val="1"/>
                <w:color w:val="auto"/>
                <w:w w:val="90"/>
              </w:rPr>
              <w:t>New York, New York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80" w:type="dxa"/>
            <w:vAlign w:val="bottom"/>
          </w:tcPr>
          <w:p>
            <w:pPr>
              <w:jc w:val="right"/>
              <w:ind w:right="2277"/>
              <w:spacing w:after="0"/>
              <w:rPr>
                <w:sz w:val="20"/>
                <w:szCs w:val="20"/>
                <w:color w:val="auto"/>
              </w:rPr>
            </w:pPr>
            <w:r>
              <w:rPr>
                <w:rFonts w:ascii="Arial" w:cs="Arial" w:eastAsia="Arial" w:hAnsi="Arial"/>
                <w:sz w:val="13"/>
                <w:szCs w:val="13"/>
                <w:b w:val="1"/>
                <w:bCs w:val="1"/>
                <w:color w:val="auto"/>
              </w:rPr>
              <w:t>10018</w:t>
            </w:r>
          </w:p>
        </w:tc>
        <w:tc>
          <w:tcPr>
            <w:tcW w:w="0" w:type="dxa"/>
            <w:vAlign w:val="bottom"/>
          </w:tcPr>
          <w:p>
            <w:pPr>
              <w:spacing w:after="0"/>
              <w:rPr>
                <w:sz w:val="1"/>
                <w:szCs w:val="1"/>
                <w:color w:val="auto"/>
              </w:rPr>
            </w:pPr>
          </w:p>
        </w:tc>
      </w:tr>
      <w:tr>
        <w:trPr>
          <w:trHeight w:val="189"/>
        </w:trPr>
        <w:tc>
          <w:tcPr>
            <w:tcW w:w="6560" w:type="dxa"/>
            <w:vAlign w:val="bottom"/>
            <w:gridSpan w:val="6"/>
          </w:tcPr>
          <w:p>
            <w:pPr>
              <w:jc w:val="center"/>
              <w:ind w:right="160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380" w:type="dxa"/>
            <w:vAlign w:val="bottom"/>
          </w:tcPr>
          <w:p>
            <w:pPr>
              <w:jc w:val="center"/>
              <w:ind w:right="1557"/>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65"/>
        </w:trPr>
        <w:tc>
          <w:tcPr>
            <w:tcW w:w="3340" w:type="dxa"/>
            <w:vAlign w:val="bottom"/>
          </w:tcPr>
          <w:p>
            <w:pPr>
              <w:spacing w:after="0"/>
              <w:rPr>
                <w:sz w:val="23"/>
                <w:szCs w:val="23"/>
                <w:color w:val="auto"/>
              </w:rPr>
            </w:pPr>
          </w:p>
        </w:tc>
        <w:tc>
          <w:tcPr>
            <w:tcW w:w="2860" w:type="dxa"/>
            <w:vAlign w:val="bottom"/>
            <w:gridSpan w:val="3"/>
          </w:tcPr>
          <w:p>
            <w:pPr>
              <w:jc w:val="center"/>
              <w:ind w:left="331"/>
              <w:spacing w:after="0"/>
              <w:rPr>
                <w:sz w:val="20"/>
                <w:szCs w:val="20"/>
                <w:color w:val="auto"/>
              </w:rPr>
            </w:pPr>
            <w:r>
              <w:rPr>
                <w:rFonts w:ascii="Arial" w:cs="Arial" w:eastAsia="Arial" w:hAnsi="Arial"/>
                <w:sz w:val="14"/>
                <w:szCs w:val="14"/>
                <w:b w:val="1"/>
                <w:bCs w:val="1"/>
                <w:color w:val="auto"/>
                <w:w w:val="93"/>
              </w:rPr>
              <w:t>(212) 888-3124</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560" w:type="dxa"/>
            <w:vAlign w:val="bottom"/>
            <w:gridSpan w:val="6"/>
          </w:tcPr>
          <w:p>
            <w:pPr>
              <w:spacing w:after="0"/>
              <w:rPr>
                <w:sz w:val="20"/>
                <w:szCs w:val="20"/>
                <w:color w:val="auto"/>
              </w:rPr>
            </w:pPr>
            <w:r>
              <w:rPr>
                <w:rFonts w:ascii="Arial" w:cs="Arial" w:eastAsia="Arial" w:hAnsi="Arial"/>
                <w:sz w:val="22"/>
                <w:szCs w:val="22"/>
                <w:color w:val="auto"/>
              </w:rPr>
              <w:t>(Registrant’s telephone number, including area code)</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340" w:type="dxa"/>
            <w:vAlign w:val="bottom"/>
          </w:tcPr>
          <w:p>
            <w:pPr>
              <w:spacing w:after="0"/>
              <w:rPr>
                <w:sz w:val="21"/>
                <w:szCs w:val="21"/>
                <w:color w:val="auto"/>
              </w:rPr>
            </w:pPr>
          </w:p>
        </w:tc>
        <w:tc>
          <w:tcPr>
            <w:tcW w:w="32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33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340" w:type="dxa"/>
            <w:vAlign w:val="bottom"/>
            <w:tcBorders>
              <w:left w:val="single" w:sz="8" w:color="auto"/>
              <w:bottom w:val="single" w:sz="8" w:color="auto"/>
            </w:tcBorders>
          </w:tcPr>
          <w:p>
            <w:pPr>
              <w:jc w:val="center"/>
              <w:ind w:left="93"/>
              <w:spacing w:after="0" w:line="129" w:lineRule="exact"/>
              <w:rPr>
                <w:sz w:val="20"/>
                <w:szCs w:val="20"/>
                <w:color w:val="auto"/>
              </w:rPr>
            </w:pPr>
            <w:r>
              <w:rPr>
                <w:rFonts w:ascii="Arial" w:cs="Arial" w:eastAsia="Arial" w:hAnsi="Arial"/>
                <w:sz w:val="13"/>
                <w:szCs w:val="13"/>
                <w:b w:val="1"/>
                <w:bCs w:val="1"/>
                <w:color w:val="auto"/>
                <w:w w:val="83"/>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7"/>
              </w:rPr>
              <w:t>Trading Symbol(s)</w:t>
            </w:r>
          </w:p>
        </w:tc>
        <w:tc>
          <w:tcPr>
            <w:tcW w:w="80" w:type="dxa"/>
            <w:vAlign w:val="bottom"/>
            <w:tcBorders>
              <w:bottom w:val="single" w:sz="8" w:color="auto"/>
            </w:tcBorders>
          </w:tcPr>
          <w:p>
            <w:pPr>
              <w:spacing w:after="0"/>
              <w:rPr>
                <w:sz w:val="11"/>
                <w:szCs w:val="11"/>
                <w:color w:val="auto"/>
              </w:rPr>
            </w:pPr>
          </w:p>
        </w:tc>
        <w:tc>
          <w:tcPr>
            <w:tcW w:w="3380" w:type="dxa"/>
            <w:vAlign w:val="bottom"/>
            <w:tcBorders>
              <w:bottom w:val="single" w:sz="8" w:color="auto"/>
              <w:right w:val="single" w:sz="8" w:color="auto"/>
            </w:tcBorders>
          </w:tcPr>
          <w:p>
            <w:pPr>
              <w:jc w:val="center"/>
              <w:ind w:right="57"/>
              <w:spacing w:after="0" w:line="129" w:lineRule="exact"/>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14"/>
        </w:trPr>
        <w:tc>
          <w:tcPr>
            <w:tcW w:w="3340" w:type="dxa"/>
            <w:vAlign w:val="bottom"/>
            <w:tcBorders>
              <w:left w:val="single" w:sz="8" w:color="auto"/>
            </w:tcBorders>
          </w:tcPr>
          <w:p>
            <w:pPr>
              <w:jc w:val="center"/>
              <w:ind w:left="93"/>
              <w:spacing w:after="0" w:line="114" w:lineRule="exact"/>
              <w:rPr>
                <w:sz w:val="20"/>
                <w:szCs w:val="20"/>
                <w:color w:val="auto"/>
              </w:rPr>
            </w:pPr>
            <w:r>
              <w:rPr>
                <w:rFonts w:ascii="Arial" w:cs="Arial" w:eastAsia="Arial" w:hAnsi="Arial"/>
                <w:sz w:val="13"/>
                <w:szCs w:val="13"/>
                <w:color w:val="auto"/>
                <w:w w:val="88"/>
              </w:rPr>
              <w:t>Common Stock,</w:t>
            </w:r>
          </w:p>
        </w:tc>
        <w:tc>
          <w:tcPr>
            <w:tcW w:w="1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760" w:type="dxa"/>
            <w:vAlign w:val="bottom"/>
            <w:tcBorders>
              <w:right w:val="single" w:sz="8" w:color="auto"/>
            </w:tcBorders>
            <w:gridSpan w:val="2"/>
          </w:tcPr>
          <w:p>
            <w:pPr>
              <w:jc w:val="center"/>
              <w:ind w:right="260"/>
              <w:spacing w:after="0" w:line="114" w:lineRule="exact"/>
              <w:rPr>
                <w:sz w:val="20"/>
                <w:szCs w:val="20"/>
                <w:color w:val="auto"/>
              </w:rPr>
            </w:pPr>
            <w:r>
              <w:rPr>
                <w:rFonts w:ascii="Arial" w:cs="Arial" w:eastAsia="Arial" w:hAnsi="Arial"/>
                <w:sz w:val="13"/>
                <w:szCs w:val="13"/>
                <w:color w:val="auto"/>
                <w:w w:val="92"/>
              </w:rPr>
              <w:t>PGNY</w:t>
            </w:r>
          </w:p>
        </w:tc>
        <w:tc>
          <w:tcPr>
            <w:tcW w:w="80" w:type="dxa"/>
            <w:vAlign w:val="bottom"/>
          </w:tcPr>
          <w:p>
            <w:pPr>
              <w:spacing w:after="0"/>
              <w:rPr>
                <w:sz w:val="9"/>
                <w:szCs w:val="9"/>
                <w:color w:val="auto"/>
              </w:rPr>
            </w:pPr>
          </w:p>
        </w:tc>
        <w:tc>
          <w:tcPr>
            <w:tcW w:w="3380" w:type="dxa"/>
            <w:vAlign w:val="bottom"/>
            <w:tcBorders>
              <w:right w:val="single" w:sz="8" w:color="auto"/>
            </w:tcBorders>
          </w:tcPr>
          <w:p>
            <w:pPr>
              <w:jc w:val="center"/>
              <w:ind w:right="37"/>
              <w:spacing w:after="0" w:line="114" w:lineRule="exact"/>
              <w:rPr>
                <w:sz w:val="20"/>
                <w:szCs w:val="20"/>
                <w:color w:val="auto"/>
              </w:rPr>
            </w:pPr>
            <w:r>
              <w:rPr>
                <w:rFonts w:ascii="Arial" w:cs="Arial" w:eastAsia="Arial" w:hAnsi="Arial"/>
                <w:sz w:val="13"/>
                <w:szCs w:val="13"/>
                <w:color w:val="auto"/>
                <w:w w:val="88"/>
              </w:rPr>
              <w:t>The Nasdaq Global Select Market</w:t>
            </w:r>
          </w:p>
        </w:tc>
        <w:tc>
          <w:tcPr>
            <w:tcW w:w="0" w:type="dxa"/>
            <w:vAlign w:val="bottom"/>
          </w:tcPr>
          <w:p>
            <w:pPr>
              <w:spacing w:after="0"/>
              <w:rPr>
                <w:sz w:val="1"/>
                <w:szCs w:val="1"/>
                <w:color w:val="auto"/>
              </w:rPr>
            </w:pPr>
          </w:p>
        </w:tc>
      </w:tr>
      <w:tr>
        <w:trPr>
          <w:trHeight w:val="149"/>
        </w:trPr>
        <w:tc>
          <w:tcPr>
            <w:tcW w:w="3340" w:type="dxa"/>
            <w:vAlign w:val="bottom"/>
            <w:tcBorders>
              <w:left w:val="single" w:sz="8" w:color="auto"/>
              <w:bottom w:val="single" w:sz="8" w:color="auto"/>
            </w:tcBorders>
          </w:tcPr>
          <w:p>
            <w:pPr>
              <w:jc w:val="center"/>
              <w:ind w:left="93"/>
              <w:spacing w:after="0"/>
              <w:rPr>
                <w:sz w:val="20"/>
                <w:szCs w:val="20"/>
                <w:color w:val="auto"/>
              </w:rPr>
            </w:pPr>
            <w:r>
              <w:rPr>
                <w:rFonts w:ascii="Arial" w:cs="Arial" w:eastAsia="Arial" w:hAnsi="Arial"/>
                <w:sz w:val="13"/>
                <w:szCs w:val="13"/>
                <w:color w:val="auto"/>
                <w:w w:val="84"/>
              </w:rPr>
              <w:t>$0.0001 par value per share</w:t>
            </w:r>
          </w:p>
        </w:tc>
        <w:tc>
          <w:tcPr>
            <w:tcW w:w="1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5"/>
          </w:tcPr>
          <w:p>
            <w:pPr>
              <w:ind w:left="20"/>
              <w:spacing w:after="0"/>
              <w:rPr>
                <w:sz w:val="20"/>
                <w:szCs w:val="20"/>
                <w:color w:val="auto"/>
              </w:rPr>
            </w:pPr>
            <w:r>
              <w:rPr>
                <w:rFonts w:ascii="Arial" w:cs="Arial" w:eastAsia="Arial" w:hAnsi="Arial"/>
                <w:sz w:val="13"/>
                <w:szCs w:val="13"/>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98"/>
        </w:trPr>
        <w:tc>
          <w:tcPr>
            <w:tcW w:w="6560" w:type="dxa"/>
            <w:vAlign w:val="bottom"/>
            <w:gridSpan w:val="6"/>
          </w:tcPr>
          <w:p>
            <w:pPr>
              <w:ind w:left="52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w:t>
            </w:r>
          </w:p>
        </w:tc>
        <w:tc>
          <w:tcPr>
            <w:tcW w:w="3380" w:type="dxa"/>
            <w:vAlign w:val="bottom"/>
          </w:tcPr>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257"/>
        </w:trPr>
        <w:tc>
          <w:tcPr>
            <w:tcW w:w="6560" w:type="dxa"/>
            <w:vAlign w:val="bottom"/>
            <w:gridSpan w:val="6"/>
          </w:tcPr>
          <w:p>
            <w:pPr>
              <w:ind w:left="52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w:t>
            </w:r>
          </w:p>
        </w:tc>
        <w:tc>
          <w:tcPr>
            <w:tcW w:w="3380" w:type="dxa"/>
            <w:vAlign w:val="bottom"/>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both"/>
        <w:ind w:right="20" w:firstLine="518"/>
        <w:spacing w:after="0" w:line="161"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70" w:lineRule="exact"/>
        <w:rPr>
          <w:sz w:val="24"/>
          <w:szCs w:val="24"/>
          <w:color w:val="auto"/>
        </w:rPr>
      </w:pPr>
    </w:p>
    <w:p>
      <w:pPr>
        <w:jc w:val="both"/>
        <w:ind w:right="40" w:firstLine="518"/>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jc w:val="both"/>
        <w:ind w:right="20" w:firstLine="518"/>
        <w:spacing w:after="0" w:line="25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00" w:type="dxa"/>
        <w:tblCellMar>
          <w:top w:w="0" w:type="dxa"/>
          <w:left w:w="0" w:type="dxa"/>
          <w:bottom w:w="0" w:type="dxa"/>
          <w:right w:w="0" w:type="dxa"/>
        </w:tblCellMar>
      </w:tblPr>
      <w:tr>
        <w:trPr>
          <w:trHeight w:val="128"/>
        </w:trPr>
        <w:tc>
          <w:tcPr>
            <w:tcW w:w="2200" w:type="dxa"/>
            <w:vAlign w:val="bottom"/>
          </w:tcPr>
          <w:p>
            <w:pPr>
              <w:spacing w:after="0" w:line="128" w:lineRule="exact"/>
              <w:rPr>
                <w:sz w:val="20"/>
                <w:szCs w:val="20"/>
                <w:color w:val="auto"/>
              </w:rPr>
            </w:pPr>
            <w:r>
              <w:rPr>
                <w:rFonts w:ascii="Arial" w:cs="Arial" w:eastAsia="Arial" w:hAnsi="Arial"/>
                <w:sz w:val="13"/>
                <w:szCs w:val="13"/>
                <w:color w:val="auto"/>
              </w:rPr>
              <w:t>Large accelerated filer</w:t>
            </w:r>
          </w:p>
        </w:tc>
        <w:tc>
          <w:tcPr>
            <w:tcW w:w="1560" w:type="dxa"/>
            <w:vAlign w:val="bottom"/>
          </w:tcPr>
          <w:p>
            <w:pPr>
              <w:ind w:left="1060"/>
              <w:spacing w:after="0" w:line="128" w:lineRule="exact"/>
              <w:rPr>
                <w:sz w:val="20"/>
                <w:szCs w:val="20"/>
                <w:color w:val="auto"/>
              </w:rPr>
            </w:pPr>
            <w:r>
              <w:rPr>
                <w:rFonts w:ascii="MS PGothic" w:cs="MS PGothic" w:eastAsia="MS PGothic" w:hAnsi="MS PGothic"/>
                <w:sz w:val="13"/>
                <w:szCs w:val="13"/>
                <w:color w:val="auto"/>
              </w:rPr>
              <w:t>☐</w:t>
            </w:r>
          </w:p>
        </w:tc>
        <w:tc>
          <w:tcPr>
            <w:tcW w:w="2800" w:type="dxa"/>
            <w:vAlign w:val="bottom"/>
          </w:tcPr>
          <w:p>
            <w:pPr>
              <w:ind w:left="380"/>
              <w:spacing w:after="0" w:line="128" w:lineRule="exact"/>
              <w:rPr>
                <w:sz w:val="20"/>
                <w:szCs w:val="20"/>
                <w:color w:val="auto"/>
              </w:rPr>
            </w:pPr>
            <w:r>
              <w:rPr>
                <w:rFonts w:ascii="Arial" w:cs="Arial" w:eastAsia="Arial" w:hAnsi="Arial"/>
                <w:sz w:val="13"/>
                <w:szCs w:val="13"/>
                <w:color w:val="auto"/>
              </w:rPr>
              <w:t>Accelerated filer</w:t>
            </w:r>
          </w:p>
        </w:tc>
        <w:tc>
          <w:tcPr>
            <w:tcW w:w="1140" w:type="dxa"/>
            <w:vAlign w:val="bottom"/>
          </w:tcPr>
          <w:p>
            <w:pPr>
              <w:ind w:left="1020"/>
              <w:spacing w:after="0" w:line="128"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2200" w:type="dxa"/>
            <w:vAlign w:val="bottom"/>
          </w:tcPr>
          <w:p>
            <w:pPr>
              <w:spacing w:after="0"/>
              <w:rPr>
                <w:sz w:val="20"/>
                <w:szCs w:val="20"/>
                <w:color w:val="auto"/>
              </w:rPr>
            </w:pPr>
            <w:r>
              <w:rPr>
                <w:rFonts w:ascii="Arial" w:cs="Arial" w:eastAsia="Arial" w:hAnsi="Arial"/>
                <w:sz w:val="13"/>
                <w:szCs w:val="13"/>
                <w:color w:val="auto"/>
              </w:rPr>
              <w:t>Non-accelerated filer</w:t>
            </w:r>
          </w:p>
        </w:tc>
        <w:tc>
          <w:tcPr>
            <w:tcW w:w="1560" w:type="dxa"/>
            <w:vAlign w:val="bottom"/>
          </w:tcPr>
          <w:p>
            <w:pPr>
              <w:ind w:left="1060"/>
              <w:spacing w:after="0" w:line="131" w:lineRule="exact"/>
              <w:rPr>
                <w:sz w:val="20"/>
                <w:szCs w:val="20"/>
                <w:color w:val="auto"/>
              </w:rPr>
            </w:pPr>
            <w:r>
              <w:rPr>
                <w:rFonts w:ascii="MS PGothic" w:cs="MS PGothic" w:eastAsia="MS PGothic" w:hAnsi="MS PGothic"/>
                <w:sz w:val="13"/>
                <w:szCs w:val="13"/>
                <w:color w:val="auto"/>
              </w:rPr>
              <w:t>☒</w:t>
            </w:r>
          </w:p>
        </w:tc>
        <w:tc>
          <w:tcPr>
            <w:tcW w:w="2800" w:type="dxa"/>
            <w:vAlign w:val="bottom"/>
          </w:tcPr>
          <w:p>
            <w:pPr>
              <w:ind w:left="380"/>
              <w:spacing w:after="0"/>
              <w:rPr>
                <w:sz w:val="20"/>
                <w:szCs w:val="20"/>
                <w:color w:val="auto"/>
              </w:rPr>
            </w:pPr>
            <w:r>
              <w:rPr>
                <w:rFonts w:ascii="Arial" w:cs="Arial" w:eastAsia="Arial" w:hAnsi="Arial"/>
                <w:sz w:val="13"/>
                <w:szCs w:val="13"/>
                <w:color w:val="auto"/>
              </w:rPr>
              <w:t>Smaller reporting company</w:t>
            </w:r>
          </w:p>
        </w:tc>
        <w:tc>
          <w:tcPr>
            <w:tcW w:w="11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0" w:type="dxa"/>
            <w:vAlign w:val="bottom"/>
          </w:tcPr>
          <w:p>
            <w:pPr>
              <w:ind w:left="380"/>
              <w:spacing w:after="0"/>
              <w:rPr>
                <w:sz w:val="20"/>
                <w:szCs w:val="20"/>
                <w:color w:val="auto"/>
              </w:rPr>
            </w:pPr>
            <w:r>
              <w:rPr>
                <w:rFonts w:ascii="Arial" w:cs="Arial" w:eastAsia="Arial" w:hAnsi="Arial"/>
                <w:sz w:val="13"/>
                <w:szCs w:val="13"/>
                <w:color w:val="auto"/>
              </w:rPr>
              <w:t>Emerging growth company</w:t>
            </w:r>
          </w:p>
        </w:tc>
        <w:tc>
          <w:tcPr>
            <w:tcW w:w="11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2" w:lineRule="exact"/>
        <w:rPr>
          <w:sz w:val="24"/>
          <w:szCs w:val="24"/>
          <w:color w:val="auto"/>
        </w:rPr>
      </w:pPr>
    </w:p>
    <w:p>
      <w:pPr>
        <w:jc w:val="both"/>
        <w:ind w:right="20" w:firstLine="51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1" w:lineRule="exact"/>
        <w:rPr>
          <w:sz w:val="24"/>
          <w:szCs w:val="24"/>
          <w:color w:val="auto"/>
        </w:rPr>
      </w:pPr>
    </w:p>
    <w:p>
      <w:pPr>
        <w:ind w:left="520"/>
        <w:spacing w:after="0" w:line="150" w:lineRule="exact"/>
        <w:tabs>
          <w:tab w:leader="none" w:pos="6340" w:val="left"/>
          <w:tab w:leader="none" w:pos="68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0"/>
          <w:szCs w:val="10"/>
          <w:color w:val="auto"/>
        </w:rPr>
        <w:t>☒</w:t>
      </w:r>
    </w:p>
    <w:p>
      <w:pPr>
        <w:spacing w:after="0" w:line="91" w:lineRule="exact"/>
        <w:rPr>
          <w:sz w:val="24"/>
          <w:szCs w:val="24"/>
          <w:color w:val="auto"/>
        </w:rPr>
      </w:pPr>
    </w:p>
    <w:p>
      <w:pPr>
        <w:jc w:val="both"/>
        <w:ind w:right="20" w:firstLine="518"/>
        <w:spacing w:after="0" w:line="226"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registrant’s shares of common stock as reported by The Nasdaq Global Select Market on December 31, 2019, was approximately $1.1 billion. The registrant has elected to use December 31, 2019 as the calculation date, which was the last trading date of the registrant’s most recently completed fiscal year, because on June 30, 2019 (the last business day of the registrant’s second fiscal quarter), the registrant was a privately-held company.</w:t>
      </w:r>
    </w:p>
    <w:p>
      <w:pPr>
        <w:spacing w:after="0" w:line="11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As of February 28, 2020, the registrant had 84,838,934 shares of common stock, $0.0001 par value per share, outstanding.</w:t>
      </w:r>
    </w:p>
    <w:p>
      <w:pPr>
        <w:spacing w:after="0" w:line="117" w:lineRule="exact"/>
        <w:rPr>
          <w:sz w:val="24"/>
          <w:szCs w:val="24"/>
          <w:color w:val="auto"/>
        </w:rPr>
      </w:pPr>
    </w:p>
    <w:p>
      <w:pPr>
        <w:ind w:left="35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25" w:lineRule="exact"/>
        <w:rPr>
          <w:sz w:val="24"/>
          <w:szCs w:val="24"/>
          <w:color w:val="auto"/>
        </w:rPr>
      </w:pPr>
    </w:p>
    <w:p>
      <w:pPr>
        <w:ind w:right="80"/>
        <w:spacing w:after="0" w:line="236" w:lineRule="auto"/>
        <w:rPr>
          <w:sz w:val="20"/>
          <w:szCs w:val="20"/>
          <w:color w:val="auto"/>
        </w:rPr>
      </w:pPr>
      <w:r>
        <w:rPr>
          <w:rFonts w:ascii="Arial" w:cs="Arial" w:eastAsia="Arial" w:hAnsi="Arial"/>
          <w:sz w:val="13"/>
          <w:szCs w:val="13"/>
          <w:color w:val="auto"/>
        </w:rPr>
        <w:t>Portions of the registrant’s Definitive Proxy Statement relating to its 2020 Annual Meeting of Stockholders to be filed within 120 days after the end of the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147955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1073785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233" w:right="97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2000" w:type="dxa"/>
            <w:vAlign w:val="bottom"/>
            <w:gridSpan w:val="1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777"/>
        </w:trPr>
        <w:tc>
          <w:tcPr>
            <w:tcW w:w="6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gridSpan w:val="13"/>
          </w:tcPr>
          <w:p>
            <w:pPr>
              <w:jc w:val="center"/>
              <w:ind w:right="3100"/>
              <w:spacing w:after="0"/>
              <w:rPr>
                <w:sz w:val="20"/>
                <w:szCs w:val="20"/>
                <w:color w:val="auto"/>
              </w:rPr>
            </w:pPr>
            <w:r>
              <w:rPr>
                <w:rFonts w:ascii="Arial" w:cs="Arial" w:eastAsia="Arial" w:hAnsi="Arial"/>
                <w:sz w:val="18"/>
                <w:szCs w:val="18"/>
                <w:b w:val="1"/>
                <w:bCs w:val="1"/>
                <w:color w:val="auto"/>
                <w:w w:val="90"/>
              </w:rPr>
              <w:t>Progyny, Inc.</w:t>
            </w:r>
          </w:p>
        </w:tc>
        <w:tc>
          <w:tcPr>
            <w:tcW w:w="68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17"/>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r>
      <w:tr>
        <w:trPr>
          <w:trHeight w:val="405"/>
        </w:trPr>
        <w:tc>
          <w:tcPr>
            <w:tcW w:w="2000" w:type="dxa"/>
            <w:vAlign w:val="bottom"/>
            <w:gridSpan w:val="1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Item 1.</w:t>
              </w:r>
            </w:hyperlink>
          </w:p>
        </w:tc>
        <w:tc>
          <w:tcPr>
            <w:tcW w:w="320" w:type="dxa"/>
            <w:vAlign w:val="bottom"/>
            <w:gridSpan w:val="6"/>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560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Item 1A.</w:t>
              </w:r>
            </w:hyperlink>
          </w:p>
        </w:tc>
        <w:tc>
          <w:tcPr>
            <w:tcW w:w="18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534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50">
              <w:r>
                <w:rPr>
                  <w:rFonts w:ascii="Arial" w:cs="Arial" w:eastAsia="Arial" w:hAnsi="Arial"/>
                  <w:sz w:val="18"/>
                  <w:szCs w:val="18"/>
                  <w:color w:val="0000EE"/>
                  <w:w w:val="83"/>
                </w:rPr>
                <w:t>Item 1B.</w:t>
              </w:r>
            </w:hyperlink>
          </w:p>
        </w:tc>
        <w:tc>
          <w:tcPr>
            <w:tcW w:w="200" w:type="dxa"/>
            <w:vAlign w:val="bottom"/>
            <w:gridSpan w:val="2"/>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Unresolved Staff Comments</w:t>
              </w:r>
            </w:hyperlink>
          </w:p>
        </w:tc>
        <w:tc>
          <w:tcPr>
            <w:tcW w:w="420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Item 2.</w:t>
              </w:r>
            </w:hyperlink>
          </w:p>
        </w:tc>
        <w:tc>
          <w:tcPr>
            <w:tcW w:w="320" w:type="dxa"/>
            <w:vAlign w:val="bottom"/>
            <w:gridSpan w:val="6"/>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Item 3.</w:t>
              </w:r>
            </w:hyperlink>
          </w:p>
        </w:tc>
        <w:tc>
          <w:tcPr>
            <w:tcW w:w="320" w:type="dxa"/>
            <w:vAlign w:val="bottom"/>
            <w:gridSpan w:val="6"/>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4.</w:t>
              </w:r>
            </w:hyperlink>
          </w:p>
        </w:tc>
        <w:tc>
          <w:tcPr>
            <w:tcW w:w="40" w:type="dxa"/>
            <w:vAlign w:val="bottom"/>
          </w:tcPr>
          <w:p>
            <w:pPr>
              <w:spacing w:after="0"/>
              <w:rPr>
                <w:sz w:val="17"/>
                <w:szCs w:val="17"/>
                <w:color w:val="auto"/>
              </w:rPr>
            </w:pPr>
          </w:p>
        </w:tc>
        <w:tc>
          <w:tcPr>
            <w:tcW w:w="280" w:type="dxa"/>
            <w:vAlign w:val="bottom"/>
            <w:gridSpan w:val="5"/>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12"/>
        </w:trPr>
        <w:tc>
          <w:tcPr>
            <w:tcW w:w="1220" w:type="dxa"/>
            <w:vAlign w:val="bottom"/>
            <w:gridSpan w:val="4"/>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500" w:type="dxa"/>
            <w:vAlign w:val="bottom"/>
            <w:tcBorders>
              <w:top w:val="single" w:sz="8" w:color="0000EE"/>
            </w:tcBorders>
            <w:gridSpan w:val="3"/>
          </w:tcPr>
          <w:p>
            <w:pPr>
              <w:spacing w:after="0"/>
              <w:rPr>
                <w:sz w:val="24"/>
                <w:szCs w:val="24"/>
                <w:color w:val="auto"/>
              </w:rPr>
            </w:pPr>
          </w:p>
        </w:tc>
        <w:tc>
          <w:tcPr>
            <w:tcW w:w="28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5.</w:t>
              </w:r>
            </w:hyperlink>
          </w:p>
        </w:tc>
        <w:tc>
          <w:tcPr>
            <w:tcW w:w="320" w:type="dxa"/>
            <w:vAlign w:val="bottom"/>
            <w:gridSpan w:val="6"/>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Market for Registrant’s Common Equity, Related Stockholder Matters and Issuer</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Purchases of Equity Securities</w:t>
              </w:r>
            </w:hyperlink>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Item 6.</w:t>
              </w:r>
            </w:hyperlink>
          </w:p>
        </w:tc>
        <w:tc>
          <w:tcPr>
            <w:tcW w:w="320" w:type="dxa"/>
            <w:vAlign w:val="bottom"/>
            <w:gridSpan w:val="6"/>
          </w:tcPr>
          <w:p>
            <w:pPr>
              <w:spacing w:after="0"/>
              <w:rPr>
                <w:sz w:val="17"/>
                <w:szCs w:val="17"/>
                <w:color w:val="auto"/>
              </w:rPr>
            </w:pPr>
          </w:p>
        </w:tc>
        <w:tc>
          <w:tcPr>
            <w:tcW w:w="2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40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Item 7.</w:t>
              </w:r>
            </w:hyperlink>
          </w:p>
        </w:tc>
        <w:tc>
          <w:tcPr>
            <w:tcW w:w="320" w:type="dxa"/>
            <w:vAlign w:val="bottom"/>
            <w:gridSpan w:val="6"/>
          </w:tcPr>
          <w:p>
            <w:pPr>
              <w:spacing w:after="0"/>
              <w:rPr>
                <w:sz w:val="17"/>
                <w:szCs w:val="17"/>
                <w:color w:val="auto"/>
              </w:rPr>
            </w:pPr>
          </w:p>
        </w:tc>
        <w:tc>
          <w:tcPr>
            <w:tcW w:w="5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Management’s Discussion and Analysis of Financial Condition and Results of</w:t>
              </w:r>
            </w:hyperlink>
          </w:p>
        </w:tc>
        <w:tc>
          <w:tcPr>
            <w:tcW w:w="62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Operations</w:t>
              </w:r>
            </w:hyperlink>
          </w:p>
        </w:tc>
        <w:tc>
          <w:tcPr>
            <w:tcW w:w="68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gridSpan w:val="7"/>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Item 7A.</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Item 8.</w:t>
              </w:r>
            </w:hyperlink>
          </w:p>
        </w:tc>
        <w:tc>
          <w:tcPr>
            <w:tcW w:w="140" w:type="dxa"/>
            <w:vAlign w:val="bottom"/>
            <w:tcBorders>
              <w:top w:val="single" w:sz="8" w:color="0000EE"/>
            </w:tcBorders>
            <w:gridSpan w:val="5"/>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19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Item 9.</w:t>
              </w:r>
            </w:hyperlink>
          </w:p>
        </w:tc>
        <w:tc>
          <w:tcPr>
            <w:tcW w:w="320" w:type="dxa"/>
            <w:vAlign w:val="bottom"/>
            <w:gridSpan w:val="6"/>
          </w:tcPr>
          <w:p>
            <w:pPr>
              <w:spacing w:after="0"/>
              <w:rPr>
                <w:sz w:val="17"/>
                <w:szCs w:val="17"/>
                <w:color w:val="auto"/>
              </w:rPr>
            </w:pPr>
          </w:p>
        </w:tc>
        <w:tc>
          <w:tcPr>
            <w:tcW w:w="56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Changes in and Disagreements with Accountants on Accounting and Financial</w:t>
              </w:r>
            </w:hyperlink>
          </w:p>
        </w:tc>
        <w:tc>
          <w:tcPr>
            <w:tcW w:w="5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Disclosure</w:t>
              </w:r>
            </w:hyperlink>
          </w:p>
        </w:tc>
        <w:tc>
          <w:tcPr>
            <w:tcW w:w="544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gridSpan w:val="7"/>
          </w:tcPr>
          <w:p>
            <w:pP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Item 9A.</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top w:val="single" w:sz="8" w:color="0000EE"/>
            </w:tcBorders>
            <w:gridSpan w:val="6"/>
          </w:tcPr>
          <w:p>
            <w:pPr>
              <w:spacing w:after="0" w:line="196" w:lineRule="exact"/>
              <w:rPr>
                <w:rFonts w:ascii="Arial" w:cs="Arial" w:eastAsia="Arial" w:hAnsi="Arial"/>
                <w:sz w:val="18"/>
                <w:szCs w:val="18"/>
                <w:color w:val="0000EE"/>
                <w:w w:val="83"/>
              </w:rPr>
            </w:pPr>
            <w:hyperlink w:anchor="page104">
              <w:r>
                <w:rPr>
                  <w:rFonts w:ascii="Arial" w:cs="Arial" w:eastAsia="Arial" w:hAnsi="Arial"/>
                  <w:sz w:val="18"/>
                  <w:szCs w:val="18"/>
                  <w:color w:val="0000EE"/>
                  <w:w w:val="83"/>
                </w:rPr>
                <w:t>Item 9B.</w:t>
              </w:r>
            </w:hyperlink>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448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20" w:type="dxa"/>
            <w:vAlign w:val="bottom"/>
            <w:gridSpan w:val="4"/>
          </w:tcPr>
          <w:p>
            <w:pPr>
              <w:spacing w:after="0" w:line="19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58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10.</w:t>
              </w:r>
            </w:hyperlink>
          </w:p>
        </w:tc>
        <w:tc>
          <w:tcPr>
            <w:tcW w:w="6240" w:type="dxa"/>
            <w:vAlign w:val="bottom"/>
            <w:gridSpan w:val="2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11.</w:t>
              </w:r>
            </w:hyperlink>
          </w:p>
        </w:tc>
        <w:tc>
          <w:tcPr>
            <w:tcW w:w="6240" w:type="dxa"/>
            <w:vAlign w:val="bottom"/>
            <w:gridSpan w:val="2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8"/>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Item 12.</w:t>
              </w:r>
            </w:hyperlink>
          </w:p>
        </w:tc>
        <w:tc>
          <w:tcPr>
            <w:tcW w:w="6240" w:type="dxa"/>
            <w:vAlign w:val="bottom"/>
            <w:gridSpan w:val="24"/>
          </w:tcPr>
          <w:p>
            <w:pPr>
              <w:spacing w:after="0" w:line="196" w:lineRule="exact"/>
              <w:rPr>
                <w:rFonts w:ascii="Arial" w:cs="Arial" w:eastAsia="Arial" w:hAnsi="Arial"/>
                <w:sz w:val="18"/>
                <w:szCs w:val="18"/>
                <w:color w:val="0000EE"/>
                <w:w w:val="97"/>
              </w:rPr>
            </w:pPr>
            <w:hyperlink w:anchor="page105">
              <w:r>
                <w:rPr>
                  <w:rFonts w:ascii="Arial" w:cs="Arial" w:eastAsia="Arial" w:hAnsi="Arial"/>
                  <w:sz w:val="18"/>
                  <w:szCs w:val="18"/>
                  <w:color w:val="0000EE"/>
                  <w:w w:val="97"/>
                </w:rPr>
                <w:t>Security Ownership of Certain Beneficial Owners and Management and Related</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Stockholder Matters</w:t>
              </w:r>
            </w:hyperlink>
          </w:p>
        </w:tc>
        <w:tc>
          <w:tcPr>
            <w:tcW w:w="4320" w:type="dxa"/>
            <w:vAlign w:val="bottom"/>
            <w:tcBorders>
              <w:top w:val="single" w:sz="8" w:color="0000EE"/>
            </w:tcBorders>
            <w:gridSpan w:val="15"/>
          </w:tcPr>
          <w:p>
            <w:pPr>
              <w:spacing w:after="0"/>
              <w:rPr>
                <w:sz w:val="17"/>
                <w:szCs w:val="17"/>
                <w:color w:val="auto"/>
              </w:rPr>
            </w:pPr>
          </w:p>
        </w:tc>
        <w:tc>
          <w:tcPr>
            <w:tcW w:w="4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5"/>
          </w:tcPr>
          <w:p>
            <w:pPr>
              <w:spacing w:after="0" w:line="196" w:lineRule="exact"/>
              <w:rPr>
                <w:rFonts w:ascii="Arial" w:cs="Arial" w:eastAsia="Arial" w:hAnsi="Arial"/>
                <w:sz w:val="18"/>
                <w:szCs w:val="18"/>
                <w:color w:val="0000EE"/>
                <w:w w:val="82"/>
              </w:rPr>
            </w:pPr>
            <w:hyperlink w:anchor="page105">
              <w:r>
                <w:rPr>
                  <w:rFonts w:ascii="Arial" w:cs="Arial" w:eastAsia="Arial" w:hAnsi="Arial"/>
                  <w:sz w:val="18"/>
                  <w:szCs w:val="18"/>
                  <w:color w:val="0000EE"/>
                  <w:w w:val="82"/>
                </w:rPr>
                <w:t>Item 13.</w:t>
              </w:r>
            </w:hyperlink>
          </w:p>
        </w:tc>
        <w:tc>
          <w:tcPr>
            <w:tcW w:w="220" w:type="dxa"/>
            <w:vAlign w:val="bottom"/>
            <w:gridSpan w:val="3"/>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top w:val="single" w:sz="8" w:color="0000EE"/>
            </w:tcBorders>
            <w:gridSpan w:val="5"/>
          </w:tcPr>
          <w:p>
            <w:pPr>
              <w:spacing w:after="0" w:line="196" w:lineRule="exact"/>
              <w:rPr>
                <w:rFonts w:ascii="Arial" w:cs="Arial" w:eastAsia="Arial" w:hAnsi="Arial"/>
                <w:sz w:val="18"/>
                <w:szCs w:val="18"/>
                <w:color w:val="0000EE"/>
                <w:w w:val="82"/>
              </w:rPr>
            </w:pPr>
            <w:hyperlink w:anchor="page105">
              <w:r>
                <w:rPr>
                  <w:rFonts w:ascii="Arial" w:cs="Arial" w:eastAsia="Arial" w:hAnsi="Arial"/>
                  <w:sz w:val="18"/>
                  <w:szCs w:val="18"/>
                  <w:color w:val="0000EE"/>
                  <w:w w:val="82"/>
                </w:rPr>
                <w:t>Item 14.</w:t>
              </w:r>
            </w:hyperlink>
          </w:p>
        </w:tc>
        <w:tc>
          <w:tcPr>
            <w:tcW w:w="220" w:type="dxa"/>
            <w:vAlign w:val="bottom"/>
            <w:gridSpan w:val="3"/>
          </w:tcPr>
          <w:p>
            <w:pPr>
              <w:spacing w:after="0"/>
              <w:rPr>
                <w:sz w:val="17"/>
                <w:szCs w:val="17"/>
                <w:color w:val="auto"/>
              </w:rPr>
            </w:pPr>
          </w:p>
        </w:tc>
        <w:tc>
          <w:tcPr>
            <w:tcW w:w="5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8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1220" w:type="dxa"/>
            <w:vAlign w:val="bottom"/>
            <w:gridSpan w:val="4"/>
          </w:tcPr>
          <w:p>
            <w:pPr>
              <w:spacing w:after="0" w:line="196"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IV</w:t>
              </w:r>
            </w:hyperlink>
          </w:p>
        </w:tc>
        <w:tc>
          <w:tcPr>
            <w:tcW w:w="540" w:type="dxa"/>
            <w:vAlign w:val="bottom"/>
            <w:tcBorders>
              <w:top w:val="single" w:sz="8" w:color="0000EE"/>
            </w:tcBorders>
            <w:gridSpan w:val="4"/>
          </w:tcPr>
          <w:p>
            <w:pPr>
              <w:spacing w:after="0"/>
              <w:rPr>
                <w:sz w:val="17"/>
                <w:szCs w:val="17"/>
                <w:color w:val="auto"/>
              </w:rPr>
            </w:pPr>
          </w:p>
        </w:tc>
        <w:tc>
          <w:tcPr>
            <w:tcW w:w="24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5"/>
          </w:tcPr>
          <w:p>
            <w:pPr>
              <w:spacing w:after="0" w:line="196" w:lineRule="exact"/>
              <w:rPr>
                <w:rFonts w:ascii="Arial" w:cs="Arial" w:eastAsia="Arial" w:hAnsi="Arial"/>
                <w:sz w:val="18"/>
                <w:szCs w:val="18"/>
                <w:color w:val="0000EE"/>
                <w:w w:val="82"/>
              </w:rPr>
            </w:pPr>
            <w:hyperlink w:anchor="page106">
              <w:r>
                <w:rPr>
                  <w:rFonts w:ascii="Arial" w:cs="Arial" w:eastAsia="Arial" w:hAnsi="Arial"/>
                  <w:sz w:val="18"/>
                  <w:szCs w:val="18"/>
                  <w:color w:val="0000EE"/>
                  <w:w w:val="82"/>
                </w:rPr>
                <w:t>Item 15.</w:t>
              </w:r>
            </w:hyperlink>
          </w:p>
        </w:tc>
        <w:tc>
          <w:tcPr>
            <w:tcW w:w="220" w:type="dxa"/>
            <w:vAlign w:val="bottom"/>
            <w:gridSpan w:val="3"/>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w:t>
              </w:r>
            </w:hyperlink>
            <w:r>
              <w:rPr>
                <w:rFonts w:ascii="Arial" w:cs="Arial" w:eastAsia="Arial" w:hAnsi="Arial"/>
                <w:sz w:val="18"/>
                <w:szCs w:val="18"/>
                <w:color w:val="000000"/>
              </w:rPr>
              <w:t>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Borders>
              <w:top w:val="single" w:sz="8" w:color="0000EE"/>
            </w:tcBorders>
            <w:gridSpan w:val="5"/>
          </w:tcPr>
          <w:p>
            <w:pPr>
              <w:spacing w:after="0" w:line="196" w:lineRule="exact"/>
              <w:rPr>
                <w:rFonts w:ascii="Arial" w:cs="Arial" w:eastAsia="Arial" w:hAnsi="Arial"/>
                <w:sz w:val="18"/>
                <w:szCs w:val="18"/>
                <w:color w:val="0000EE"/>
                <w:w w:val="82"/>
              </w:rPr>
            </w:pPr>
            <w:hyperlink w:anchor="page109">
              <w:r>
                <w:rPr>
                  <w:rFonts w:ascii="Arial" w:cs="Arial" w:eastAsia="Arial" w:hAnsi="Arial"/>
                  <w:sz w:val="18"/>
                  <w:szCs w:val="18"/>
                  <w:color w:val="0000EE"/>
                  <w:w w:val="82"/>
                </w:rPr>
                <w:t>Item 16.</w:t>
              </w:r>
            </w:hyperlink>
          </w:p>
        </w:tc>
        <w:tc>
          <w:tcPr>
            <w:tcW w:w="220" w:type="dxa"/>
            <w:vAlign w:val="bottom"/>
            <w:gridSpan w:val="3"/>
          </w:tcPr>
          <w:p>
            <w:pPr>
              <w:spacing w:after="0"/>
              <w:rPr>
                <w:sz w:val="17"/>
                <w:szCs w:val="17"/>
                <w:color w:val="auto"/>
              </w:rPr>
            </w:pPr>
          </w:p>
        </w:tc>
        <w:tc>
          <w:tcPr>
            <w:tcW w:w="2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Form 10-K Summary</w:t>
              </w:r>
            </w:hyperlink>
          </w:p>
        </w:tc>
        <w:tc>
          <w:tcPr>
            <w:tcW w:w="342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1220" w:type="dxa"/>
            <w:vAlign w:val="bottom"/>
            <w:tcBorders>
              <w:right w:val="single" w:sz="8" w:color="0000EE"/>
            </w:tcBorders>
            <w:gridSpan w:val="4"/>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000" w:type="dxa"/>
            <w:vAlign w:val="bottom"/>
            <w:gridSpan w:val="12"/>
          </w:tcPr>
          <w:p>
            <w:pPr>
              <w:spacing w:after="0"/>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885"/>
        </w:trPr>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14"/>
          </w:tcPr>
          <w:p>
            <w:pPr>
              <w:jc w:val="center"/>
              <w:ind w:left="201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Unless the context otherwise indicates, references in this Annual Report on Form 10-K to the terms “Progyny,” “the Company,” “we,” “our” and “us” refer to Progyny, Inc.</w:t>
      </w:r>
    </w:p>
    <w:p>
      <w:pPr>
        <w:spacing w:after="0" w:line="170" w:lineRule="exact"/>
        <w:rPr>
          <w:sz w:val="20"/>
          <w:szCs w:val="20"/>
          <w:color w:val="auto"/>
        </w:rPr>
      </w:pPr>
    </w:p>
    <w:p>
      <w:pPr>
        <w:ind w:left="40" w:right="159" w:firstLine="648"/>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 xml:space="preserve">We may announce material business and financial information to our investors using our investor relations website at </w:t>
      </w:r>
      <w:r>
        <w:rPr>
          <w:rFonts w:ascii="Arial" w:cs="Arial" w:eastAsia="Arial" w:hAnsi="Arial"/>
          <w:sz w:val="18"/>
          <w:szCs w:val="18"/>
          <w:i w:val="1"/>
          <w:iCs w:val="1"/>
          <w:color w:val="auto"/>
        </w:rPr>
        <w:t>investors.progyny.com</w:t>
      </w:r>
      <w:r>
        <w:rPr>
          <w:rFonts w:ascii="Arial" w:cs="Arial" w:eastAsia="Arial" w:hAnsi="Arial"/>
          <w:sz w:val="18"/>
          <w:szCs w:val="18"/>
          <w:color w:val="auto"/>
        </w:rPr>
        <w:t>. We therefore encourage investors and others interested in Progyny to review the information that we make available on our website, in addition to following our filings with the Securities and Exchange Commission, or the SEC, webcasts, press releases and conference calls.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A. “Risk Factors” and Part II, Item 7. “Management’s Discussion and Analysis of Financial Condition and Results of Operations.” of this Annual Report on Form 10-K.</w:t>
      </w:r>
    </w:p>
    <w:p>
      <w:pPr>
        <w:spacing w:after="0" w:line="19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This Annual Report on Form 10-K contains statistical data, estimates and forecasts that are based on independent industry publications, such as those published by The Journal of the American Medical Association, the American Society for Reproductive Medicine, the American Journal of Obstetrics &amp; Gynecology, Reproductive Medicine Associates of New Jersey, the Reproductive Medicine Associates of New York, European Society of Human Reproduction and Embryology, RESOLVE: The National Infertility Association, FertilityIQ, the Twin &amp; Multiple Births Association, Family Equality Council, Gallup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A. “Risk Factors,” of this Annual Report on Form 10-K that could cause results to differ materially from those expressed in these publications and other publicly available information.</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439" w:firstLine="648"/>
        <w:spacing w:after="0" w:line="301"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57"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130. We currently provide coverage to approximately 2.1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over that same time period is evidenced by our most recent industry-leading Net Promoter Score, or NPS, of +72 for our fertility benefits solution and +80 for our integrated pharmacy benefits solution, Progyny Rx.</w:t>
      </w:r>
    </w:p>
    <w:p>
      <w:pPr>
        <w:spacing w:after="0" w:line="185"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92" w:lineRule="exact"/>
        <w:rPr>
          <w:sz w:val="20"/>
          <w:szCs w:val="20"/>
          <w:color w:val="auto"/>
        </w:rPr>
      </w:pPr>
    </w:p>
    <w:p>
      <w:pPr>
        <w:ind w:left="40" w:right="159" w:firstLine="648"/>
        <w:spacing w:after="0" w:line="269" w:lineRule="auto"/>
        <w:rPr>
          <w:sz w:val="20"/>
          <w:szCs w:val="20"/>
          <w:color w:val="auto"/>
        </w:rPr>
      </w:pPr>
      <w:r>
        <w:rPr>
          <w:rFonts w:ascii="Arial" w:cs="Arial" w:eastAsia="Arial" w:hAnsi="Arial"/>
          <w:sz w:val="17"/>
          <w:szCs w:val="17"/>
          <w:color w:val="auto"/>
        </w:rPr>
        <w:t>In order to simplify the process for our members, we position the benefit to them using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of our members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85"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In addition to our fertility benefits solution, we offer an integrated pharmacy benefit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We have demonstrated our ability to drive better outcomes for our clients, members and provider clinics across multiple metrics.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The prevalence of infertility is high, affecting one in eight couples in the United States according to the Centers for Disease Control and Prevention, or CDC, and infertility is gaining attention as individuals are more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a similar prevalence, such as diabetes (affecting one in 11 individuals, according to the CDC) and asthma (affecting one in 13 individuals, according to the CDC), are 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68"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While fertility treatments have been available for almost 40 years to help individuals suffering from infertility build their families, access to these treatments has been limited due to the lack of comprehensive coverage and the prohibitive costs. The cost of care for a successful outcome can exceed $60,000 according to a study published in The Journal of the American Medical Association, yet only a small percentage of employers provide a benefits plan that addresses these costs. As a result, the vast majority of patients who undergo fertility treatment must pay for most or all of their care out-of-pocket, which is cost-prohibitive for many families and individuals.</w:t>
      </w:r>
    </w:p>
    <w:p>
      <w:pPr>
        <w:spacing w:after="0" w:line="178"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lack of adequate coverage has been the result of both broader public policy issues, as well as conventional health insurance carrier-specific policies. For example, it was not until 2017 that infertility was first recognized as a disease by the American Medical Association and, even now, only 16 states have mandated insurance coverage for infertility. For the states that do mandate coverage, the mandates vary greatly and often leave patients with inadequate coverage or unable to pursue care at all. When conventional health insurance carriers have chosen to structure fertility coverage for their employer clients, that coverage often has limited lifetime dollar maximums (with median coverage maximum of $15,000 according to Mercer) and clinically antiquated "one size fits all" clinical protocols, such as mandated step therapy protocols.</w:t>
      </w:r>
    </w:p>
    <w:p>
      <w:pPr>
        <w:spacing w:after="0" w:line="192" w:lineRule="exact"/>
        <w:rPr>
          <w:sz w:val="20"/>
          <w:szCs w:val="20"/>
          <w:color w:val="auto"/>
        </w:rPr>
      </w:pPr>
    </w:p>
    <w:p>
      <w:pPr>
        <w:jc w:val="both"/>
        <w:ind w:left="40" w:right="159" w:firstLine="648"/>
        <w:spacing w:after="0" w:line="287" w:lineRule="auto"/>
        <w:rPr>
          <w:sz w:val="20"/>
          <w:szCs w:val="20"/>
          <w:color w:val="auto"/>
        </w:rPr>
      </w:pPr>
      <w:r>
        <w:rPr>
          <w:rFonts w:ascii="Arial" w:cs="Arial" w:eastAsia="Arial" w:hAnsi="Arial"/>
          <w:sz w:val="16"/>
          <w:szCs w:val="16"/>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w:t>
      </w:r>
    </w:p>
    <w:p>
      <w:pPr>
        <w:spacing w:after="0" w:line="2" w:lineRule="exact"/>
        <w:rPr>
          <w:sz w:val="20"/>
          <w:szCs w:val="20"/>
          <w:color w:val="auto"/>
        </w:rPr>
      </w:pPr>
    </w:p>
    <w:p>
      <w:pPr>
        <w:ind w:left="40" w:right="119"/>
        <w:spacing w:after="0" w:line="269" w:lineRule="auto"/>
        <w:rPr>
          <w:sz w:val="20"/>
          <w:szCs w:val="20"/>
          <w:color w:val="auto"/>
        </w:rPr>
      </w:pPr>
      <w:r>
        <w:rPr>
          <w:rFonts w:ascii="Arial" w:cs="Arial" w:eastAsia="Arial" w:hAnsi="Arial"/>
          <w:sz w:val="17"/>
          <w:szCs w:val="17"/>
          <w:color w:val="auto"/>
        </w:rPr>
        <w:t>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180"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Driven by these market dynamics, according to the CDC, the market for fertility treatments grew at a 10.5% compound annual growth rate from 2013 to 2017 as more individuals pursued treatment. Given this increasing demand coupled with inadequate existing coverage, there is a greater need than ever before for a fertility benefits manager who can provide comprehensive and effective benefits to the employer market.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Industry Challenges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Employers are faced with three major challenges relating to providing fertility benefits to their employee bases:</w:t>
      </w:r>
    </w:p>
    <w:p>
      <w:pPr>
        <w:spacing w:after="0" w:line="248" w:lineRule="exact"/>
        <w:rPr>
          <w:sz w:val="20"/>
          <w:szCs w:val="20"/>
          <w:color w:val="auto"/>
        </w:rPr>
      </w:pPr>
    </w:p>
    <w:p>
      <w:pPr>
        <w:ind w:left="1020" w:hanging="328"/>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lack of a comprehensive fertility benefits solution that optimizes their fertility treatment expenditures;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8" w:lineRule="exact"/>
        <w:rPr>
          <w:rFonts w:ascii="Arial" w:cs="Arial" w:eastAsia="Arial" w:hAnsi="Arial"/>
          <w:sz w:val="17"/>
          <w:szCs w:val="17"/>
          <w:color w:val="auto"/>
        </w:rPr>
      </w:pPr>
    </w:p>
    <w:p>
      <w:pPr>
        <w:ind w:left="4460"/>
        <w:spacing w:after="0"/>
        <w:rPr>
          <w:rFonts w:ascii="Arial" w:cs="Arial" w:eastAsia="Arial" w:hAnsi="Arial"/>
          <w:sz w:val="17"/>
          <w:szCs w:val="17"/>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479" w:hanging="328"/>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reduce the significant maternity and neonatal intensive care unit, or NICU, expenses, and the workplace impact, resulting from multiple births caused by fertility treatments; and</w:t>
      </w:r>
    </w:p>
    <w:p>
      <w:pPr>
        <w:spacing w:after="0" w:line="146" w:lineRule="exact"/>
        <w:rPr>
          <w:rFonts w:ascii="Arial" w:cs="Arial" w:eastAsia="Arial" w:hAnsi="Arial"/>
          <w:sz w:val="17"/>
          <w:szCs w:val="17"/>
          <w:color w:val="auto"/>
        </w:rPr>
      </w:pPr>
    </w:p>
    <w:p>
      <w:pPr>
        <w:ind w:left="1020"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desire to find innovative ways to attract and retain highly sought-after talent.</w:t>
      </w:r>
    </w:p>
    <w:p>
      <w:pPr>
        <w:spacing w:after="0" w:line="225"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Lack of Effective Fertility Benefits Solutions</w:t>
      </w:r>
    </w:p>
    <w:p>
      <w:pPr>
        <w:spacing w:after="0" w:line="229"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 Given the evolution of fertility science, such conventional plans have not kept pace and have generated suboptimal clinical outcomes, as well as greater upfront treatment costs and maternity and NICU expenses. This in turn leads to inefficient utilization of employers’ expenditures on their fertility benefits programs.</w:t>
      </w:r>
    </w:p>
    <w:p>
      <w:pPr>
        <w:spacing w:after="0" w:line="178"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According to a 2015 survey conducted by Reproductive Medicine Associates of New Jersey among 1,000 nationally representative U.S. adults aged 25 to 40, or the 2015 RMANJ Report, 94% of respondents who are actively trying to have a child believe that they must use multiple embryos to increase their chance of having a child through in vitro fertilization, or IVF. The common use of multiple embryo transfer belies the fact that this procedure greatly increases the risk of multiple births and health complications among the mother and babies. One of the most common complications associated with multiples is preterm births. Preterm births significantly escalate healthcare costs, including maternity care, labor and delivery costs and NICU expenses. According to a study published in the American Journal of Obstetrics &amp; Gynecology that analyzed the total costs of care over 400,000 deliveries between 2005 and 2010, as adjusted for inflation, the maternity and perinatal healthcare costs attributable to a set of twins are approximately $150,000 on average, more than four times the comparable costs attributable to singleton births of approximately $35,000, and often exceed this average. In the case of triplets, the costs escalate significantly and average $560,000, sometimes extending upwards of $1.0 million.</w:t>
      </w:r>
    </w:p>
    <w:p>
      <w:pPr>
        <w:spacing w:after="0" w:line="167" w:lineRule="exact"/>
        <w:rPr>
          <w:sz w:val="20"/>
          <w:szCs w:val="20"/>
          <w:color w:val="auto"/>
        </w:rPr>
      </w:pPr>
    </w:p>
    <w:p>
      <w:pPr>
        <w:ind w:left="40" w:right="219" w:firstLine="648"/>
        <w:spacing w:after="0" w:line="269" w:lineRule="auto"/>
        <w:rPr>
          <w:sz w:val="20"/>
          <w:szCs w:val="20"/>
          <w:color w:val="auto"/>
        </w:rPr>
      </w:pPr>
      <w:r>
        <w:rPr>
          <w:rFonts w:ascii="Arial" w:cs="Arial" w:eastAsia="Arial" w:hAnsi="Arial"/>
          <w:sz w:val="17"/>
          <w:szCs w:val="17"/>
          <w:color w:val="auto"/>
        </w:rPr>
        <w:t>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 A patient with mandated fertility step therapy protocol may be required to undergo three to six cycles of intrauterine insemination, or IUI, which has an average success rate range of 5% to 15%, takes place over three to six months and can cost up to $4,000 per cycle (or an aggregate of approximately $12,000 to $24,000), according to FertilityIQ. Multiple rounds of mandated IUI is likely to exhaust the patient’s lifetime dollar maximum fertility benefits and waste valuable time before more effective IVF treatment can be pursued. Additionally, conventional fertility benefits programs generally do not cover certain advanced diagnostics and procedures that have been demonstrated to increase the likelihood of a healthy live birth. In addition to restrictive plan designs, the success of conventional fertility programs is also limited because many of the nation’s top fertility specialists do not broadly participate in conventional health insurance carriers’ networks.</w:t>
      </w:r>
    </w:p>
    <w:p>
      <w:pPr>
        <w:spacing w:after="0" w:line="182"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The fertility process is a long, rigorous journey, both emotionally and physically. Conventional benefits programs also lack any meaningful care coordination, education or patient support. Patients and their dependents have no help in understanding the complex choices they are faced with and discerning between treatment alternatives. For example, patients are often uneducated on the health risks and financial implications associated with preterm multiple births caused by the transfer of multiple embryos. There is also limited emotional support when patients face setbacks 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unexpected outcomes as the current system ignores the emotional burden of patients embarking on the path to pregnancy through assisted reproductive technology, or ART, treatments and the impact that burden has on employee productivity and the workplace. In the 2015 RMANJ Report, 55% of surveyed individuals believe infertility to be more stressful than unemployment, and 61% believe infertility to be more stressful than divorce. Another study published by European Society of Human Reproduction and Embryology reported that 50% of women with infertility reported feeling depressed most or all of the time. The current system places the heavy burden of coping with the infertility journey completely on the patient, without adequate resources for emotional and educational support.</w:t>
      </w:r>
    </w:p>
    <w:p>
      <w:pPr>
        <w:spacing w:after="0" w:line="177"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The conventional pharmacy delivery infrastructure is not designed to address the uniqueness of fertility treatment, which requires highly coordinated and timely delivery of medication.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programs offer limited guidance and clinical 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182"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Costs Associated with Multiple Births and Poor Fertility Treatment Outcomes</w:t>
      </w:r>
    </w:p>
    <w:p>
      <w:pPr>
        <w:spacing w:after="0" w:line="22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Ability to Attract and Retain Talent</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Employers are facing increasing competition to attract and retain talent as the labor market is at historically low unemployment levels. As a result, employers are enhancing their value proposition to employees by evaluating and providing benefits that are most in demand. Family building solutions are an increasing area of focus for employees, and in turn, employers.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40" w:right="299" w:firstLine="648"/>
        <w:spacing w:after="0" w:line="308" w:lineRule="auto"/>
        <w:rPr>
          <w:sz w:val="20"/>
          <w:szCs w:val="20"/>
          <w:color w:val="auto"/>
        </w:rPr>
      </w:pPr>
      <w:r>
        <w:rPr>
          <w:rFonts w:ascii="Arial" w:cs="Arial" w:eastAsia="Arial" w:hAnsi="Arial"/>
          <w:sz w:val="17"/>
          <w:szCs w:val="17"/>
          <w:color w:val="auto"/>
        </w:rPr>
        <w:t>We believe we have a significant opportunity to provide employers with a superior comprehensive solution that addresses the unique challenges and complexities of fertility treatment and related fertility pharmacy services.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Our core market for fertility benefits management is substantial and growing rapidly with strong tailwinds from major societal and cultural shifts, such as people starting families later in life, the growth in non-traditional paths to parenthood and other health-related burdens which have impacted the ability to have children. In addition, we believe that continued de-stigmatization of infertility, along with increased financial support from employers, will continue to drive better access to, and stronger demand for, fertility treatment services, thereby further enabling the expansion of our addressable market.</w:t>
      </w:r>
    </w:p>
    <w:p>
      <w:pPr>
        <w:spacing w:after="0" w:line="192"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We estimate that the market for fertility treatments in the United States was approximately $6.7 billion in 2017, based on data published by the CDC regarding the number of treatment cycles and FertilityIQ’s estimate of the average cost per cycle. We estimate the potential size of the U.S. fertility market to be at least twice as large because this figure excludes those individuals who do not seek treatment for infertility. According to a recent study by Reproductive Medicine Associates of New York, approximately 50% of people suffering from infertility do not seek treatment. Furthermore, when comparing the United States to other countries, the percentage of babies born utilizing ART is materially lower, at less than 2% in the United States (where fertility treatment is not adequately covered), compared to approximately 10% in Denmark and 5% in Japan (where there is more public health funding for fertility treatment).</w:t>
      </w:r>
    </w:p>
    <w:p>
      <w:pPr>
        <w:spacing w:after="0" w:line="165" w:lineRule="exact"/>
        <w:rPr>
          <w:sz w:val="20"/>
          <w:szCs w:val="20"/>
          <w:color w:val="auto"/>
        </w:rPr>
      </w:pPr>
    </w:p>
    <w:p>
      <w:pPr>
        <w:ind w:left="40" w:right="279" w:firstLine="648"/>
        <w:spacing w:after="0" w:line="301" w:lineRule="auto"/>
        <w:rPr>
          <w:sz w:val="20"/>
          <w:szCs w:val="20"/>
          <w:color w:val="auto"/>
        </w:rPr>
      </w:pPr>
      <w:r>
        <w:rPr>
          <w:rFonts w:ascii="Arial" w:cs="Arial" w:eastAsia="Arial" w:hAnsi="Arial"/>
          <w:sz w:val="16"/>
          <w:szCs w:val="16"/>
          <w:color w:val="auto"/>
        </w:rPr>
        <w:t>We contract with employers to provide fertility and family building benefits to their employees and covered dependents. We believe our addressable market consists of the approximately 8,000 self-insured employers in the United States. These 8,000 employers have a minimum of 1,000 employees, representing approximately 69 million potential covered lives in total. Our current member base of 2.1 million represents only 3% of our total market opportunity.</w:t>
      </w:r>
    </w:p>
    <w:p>
      <w:pPr>
        <w:spacing w:after="0" w:line="157"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Regardless of whether or not these self-insured employers currently provide a fertility benefit, we believe they are prospective clients of Progyny. Further, 35% of our clients had no prior fertility coverage before adopting Progyny and 92% of our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achieve savings in upfront treatment costs as well as reduced maternity and NICU expenses.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Fertility Benefits Solution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Differentiated Benefits Plan Design</w:t>
      </w:r>
    </w:p>
    <w:p>
      <w:pPr>
        <w:spacing w:after="0" w:line="225" w:lineRule="exact"/>
        <w:rPr>
          <w:sz w:val="20"/>
          <w:szCs w:val="20"/>
          <w:color w:val="auto"/>
        </w:rPr>
      </w:pPr>
    </w:p>
    <w:p>
      <w:pPr>
        <w:ind w:left="40" w:right="339" w:firstLine="648"/>
        <w:spacing w:after="0" w:line="288" w:lineRule="auto"/>
        <w:rPr>
          <w:sz w:val="20"/>
          <w:szCs w:val="20"/>
          <w:color w:val="auto"/>
        </w:rPr>
      </w:pPr>
      <w:r>
        <w:rPr>
          <w:rFonts w:ascii="Arial" w:cs="Arial" w:eastAsia="Arial" w:hAnsi="Arial"/>
          <w:sz w:val="16"/>
          <w:szCs w:val="16"/>
          <w:color w:val="auto"/>
        </w:rPr>
        <w:t>The innovative Smart Cycle is our easy-to-understand fertility benefits design. Our Smart Cycle plan design allows members equitable access to the treatment they need and is designed to drive superior outcomes and reduce both upfront treatment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17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132715</wp:posOffset>
            </wp:positionV>
            <wp:extent cx="5280660" cy="3197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806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Our superior clinical outcomes driven by our Smart Cycle plan design include higher rates of pregnancy and live births, as well as lower miscarriage rates and fewer multiple births.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Personalized Concierge-Style Member Support Services</w:t>
      </w:r>
    </w:p>
    <w:p>
      <w:pPr>
        <w:spacing w:after="0" w:line="225"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Our PCAs have deep fertility expertise and provide extensive clinical education, guidance and emotional support to our members. Additionally, we have an in-house clinical staff, comprised of professionals with substantial expertise in reproductive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endocrinology, fertility nursing, clinical psychology and social work that design our PCA training curriculum and direct our comprehensive member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117475</wp:posOffset>
            </wp:positionV>
            <wp:extent cx="5229225" cy="1268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922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Selective Network of High-Quality Fertility Specialists</w:t>
      </w:r>
    </w:p>
    <w:p>
      <w:pPr>
        <w:spacing w:after="0" w:line="225"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approximately 800 fertility specialists who practice at approximately 600 provider clinic locations throughout the United States. Our network includes 22 of the top 25 fertility practice groups by volume in the United States according to 2017 CDC data, which was published in 2019 and is the most recent data available. Fertility specialists who are invited to join our network must meet and maintain rigorous credentialing standards and quality thresholds that we set for inclusion in our network to ensure that our members receive the highest quality of care.</w:t>
      </w:r>
    </w:p>
    <w:p>
      <w:pPr>
        <w:spacing w:after="0" w:line="178" w:lineRule="exact"/>
        <w:rPr>
          <w:sz w:val="20"/>
          <w:szCs w:val="20"/>
          <w:color w:val="auto"/>
        </w:rPr>
      </w:pPr>
    </w:p>
    <w:p>
      <w:pPr>
        <w:ind w:left="40" w:right="339" w:firstLine="648"/>
        <w:spacing w:after="0" w:line="279" w:lineRule="auto"/>
        <w:rPr>
          <w:sz w:val="20"/>
          <w:szCs w:val="20"/>
          <w:color w:val="auto"/>
        </w:rPr>
      </w:pPr>
      <w:r>
        <w:rPr>
          <w:rFonts w:ascii="Arial" w:cs="Arial" w:eastAsia="Arial" w:hAnsi="Arial"/>
          <w:sz w:val="17"/>
          <w:szCs w:val="17"/>
          <w:color w:val="auto"/>
        </w:rPr>
        <w:t>Our fertility specialist network is unique in that approximately 30% of our provider clinics do not broadly participate in conventional health insurance carrier networks, meaning they contract with us and no more than one other health insurance carrier. Our national network serves members in virtually every state (two states have no practicing reproductive endocrinologists), providing extensive geographic coverage to our national employers.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Progyny Rx, an Integrated Pharmacy Benefits Solution</w:t>
      </w:r>
    </w:p>
    <w:p>
      <w:pPr>
        <w:spacing w:after="0" w:line="225"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phone-based, clinical education and support seven days a week to ensure that our members understand 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complexity involved in administering the medications, we believe Progyny Rx provides a differentiated and effective pharmacy solution for our clients and their employees.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Robust Data Collection Process.</w:t>
      </w:r>
    </w:p>
    <w:p>
      <w:pPr>
        <w:spacing w:after="0" w:line="225"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Prestigious Medical Advisory Board.</w:t>
      </w:r>
    </w:p>
    <w:p>
      <w:pPr>
        <w:spacing w:after="0" w:line="225"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Our Medical Advisory Board,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is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Full Service Client Account Management.</w:t>
      </w:r>
    </w:p>
    <w:p>
      <w:pPr>
        <w:spacing w:after="0" w:line="225"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We provide a dedicated account management team to ensure that we are delivering superior service. Our account managers support our clients’ day-to-day needs and resolve issues that arise. For example, to help our clients ensure that their employees are fully aware of the Progyny program, our account management teams work with our clients to create co-branded materials to support health fairs, open enrollment events and other employee communications. The account management team also attends open enrollment benefits fairs and other health fairs throughout the year and hosts virtual open enrollment webinars for members to attend live or on-demand. Our account management team also reviews all quarterly and annual program reports with our clients to reinforce the transparency we provide to clients into their expenditures and outcomes and to review and quantify the value created by our solutions. We believe our account management services, including our detailed client reporting, plays an important role in helping us maintain and strengthen our client relationships.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Ease of Integration for Our Clients.</w:t>
      </w:r>
    </w:p>
    <w:p>
      <w:pPr>
        <w:spacing w:after="0" w:line="225" w:lineRule="exact"/>
        <w:rPr>
          <w:sz w:val="20"/>
          <w:szCs w:val="20"/>
          <w:color w:val="auto"/>
        </w:rPr>
      </w:pPr>
    </w:p>
    <w:p>
      <w:pPr>
        <w:ind w:left="40" w:right="219" w:firstLine="648"/>
        <w:spacing w:after="0" w:line="290" w:lineRule="auto"/>
        <w:rPr>
          <w:sz w:val="20"/>
          <w:szCs w:val="20"/>
          <w:color w:val="auto"/>
        </w:rPr>
      </w:pPr>
      <w:r>
        <w:rPr>
          <w:rFonts w:ascii="Arial" w:cs="Arial" w:eastAsia="Arial" w:hAnsi="Arial"/>
          <w:sz w:val="16"/>
          <w:szCs w:val="16"/>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coverage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Surrogacy and Adoption Reimbursement Program</w:t>
      </w:r>
    </w:p>
    <w:p>
      <w:pPr>
        <w:spacing w:after="0" w:line="225"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We also offer a surrogacy and adoption reimbursement program. We can manage the reimbursement of surrogacy and adoption expenses for those clients who offer such reimbursement benefits. For these programs, employers designate a specific lifetime dollar amount toward surrogacy and/or adoption services for their employees. We then administer the expense reimbursement to employees up to this dollar amount. We work with our clients to determine what expenses related to adoption and/or surrogacy will be covered under their plan, thereby alleviating their administrative</w:t>
      </w:r>
    </w:p>
    <w:p>
      <w:pPr>
        <w:spacing w:after="0" w:line="2" w:lineRule="exact"/>
        <w:rPr>
          <w:sz w:val="20"/>
          <w:szCs w:val="20"/>
          <w:color w:val="auto"/>
        </w:rPr>
      </w:pPr>
    </w:p>
    <w:p>
      <w:pPr>
        <w:ind w:left="40" w:right="59"/>
        <w:spacing w:after="0" w:line="260" w:lineRule="auto"/>
        <w:rPr>
          <w:sz w:val="20"/>
          <w:szCs w:val="20"/>
          <w:color w:val="auto"/>
        </w:rPr>
      </w:pPr>
      <w:r>
        <w:rPr>
          <w:rFonts w:ascii="Arial" w:cs="Arial" w:eastAsia="Arial" w:hAnsi="Arial"/>
          <w:sz w:val="18"/>
          <w:szCs w:val="18"/>
          <w:color w:val="auto"/>
        </w:rPr>
        <w:t>burden. Examples of reimbursement expenses typically include agency fees, surrogacy fees, travel expenses and healthcare expenses for the surrogate.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Value Proposition</w:t>
      </w:r>
    </w:p>
    <w:p>
      <w:pPr>
        <w:spacing w:after="0" w:line="229" w:lineRule="exact"/>
        <w:rPr>
          <w:sz w:val="20"/>
          <w:szCs w:val="20"/>
          <w:color w:val="auto"/>
        </w:rPr>
      </w:pPr>
    </w:p>
    <w:p>
      <w:pPr>
        <w:jc w:val="both"/>
        <w:ind w:left="40" w:right="179" w:firstLine="648"/>
        <w:spacing w:after="0" w:line="263" w:lineRule="auto"/>
        <w:rPr>
          <w:sz w:val="20"/>
          <w:szCs w:val="20"/>
          <w:color w:val="auto"/>
        </w:rPr>
      </w:pPr>
      <w:r>
        <w:rPr>
          <w:rFonts w:ascii="Arial" w:cs="Arial" w:eastAsia="Arial" w:hAnsi="Arial"/>
          <w:sz w:val="18"/>
          <w:szCs w:val="18"/>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Measurable Value to Our Employer Clients</w:t>
      </w:r>
    </w:p>
    <w:p>
      <w:pPr>
        <w:spacing w:after="0" w:line="225" w:lineRule="exact"/>
        <w:rPr>
          <w:sz w:val="20"/>
          <w:szCs w:val="20"/>
          <w:color w:val="auto"/>
        </w:rPr>
      </w:pPr>
    </w:p>
    <w:p>
      <w:pPr>
        <w:ind w:left="1020" w:right="299" w:hanging="328"/>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Substantial and Measurable Financial Value. </w:t>
      </w:r>
      <w:r>
        <w:rPr>
          <w:rFonts w:ascii="Arial" w:cs="Arial" w:eastAsia="Arial" w:hAnsi="Arial"/>
          <w:sz w:val="18"/>
          <w:szCs w:val="18"/>
          <w:color w:val="auto"/>
        </w:rPr>
        <w:t>Our superior clinical outcomes drive savings in both upfront</w:t>
      </w:r>
      <w:r>
        <w:rPr>
          <w:rFonts w:ascii="Arial" w:cs="Arial" w:eastAsia="Arial" w:hAnsi="Arial"/>
          <w:sz w:val="18"/>
          <w:szCs w:val="18"/>
          <w:i w:val="1"/>
          <w:iCs w:val="1"/>
          <w:color w:val="auto"/>
        </w:rPr>
        <w:t xml:space="preserve"> </w:t>
      </w:r>
      <w:r>
        <w:rPr>
          <w:rFonts w:ascii="Arial" w:cs="Arial" w:eastAsia="Arial" w:hAnsi="Arial"/>
          <w:sz w:val="18"/>
          <w:szCs w:val="18"/>
          <w:color w:val="auto"/>
        </w:rPr>
        <w:t>fertility treatment costs (due to our higher live birth rates) as well as subsequent maternity and NICU expenses for our clients (due to our lower multiple birth rates).</w:t>
      </w:r>
    </w:p>
    <w:p>
      <w:pPr>
        <w:spacing w:after="0" w:line="183" w:lineRule="exact"/>
        <w:rPr>
          <w:rFonts w:ascii="Arial" w:cs="Arial" w:eastAsia="Arial" w:hAnsi="Arial"/>
          <w:sz w:val="18"/>
          <w:szCs w:val="18"/>
          <w:color w:val="auto"/>
        </w:rPr>
      </w:pPr>
    </w:p>
    <w:p>
      <w:pPr>
        <w:ind w:left="1020" w:right="479" w:hanging="328"/>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Progyny Rx Savings. </w:t>
      </w:r>
      <w:r>
        <w:rPr>
          <w:rFonts w:ascii="Arial" w:cs="Arial" w:eastAsia="Arial" w:hAnsi="Arial"/>
          <w:sz w:val="18"/>
          <w:szCs w:val="18"/>
          <w:color w:val="auto"/>
        </w:rPr>
        <w:t>Progyny Rx delivers unit cost savings of between 10% and 20% to our clients,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savings of approximately 8% based on a reduction in unnecessary quantities of medication dispensed.</w:t>
      </w:r>
    </w:p>
    <w:p>
      <w:pPr>
        <w:spacing w:after="0" w:line="183" w:lineRule="exact"/>
        <w:rPr>
          <w:rFonts w:ascii="Arial" w:cs="Arial" w:eastAsia="Arial" w:hAnsi="Arial"/>
          <w:sz w:val="18"/>
          <w:szCs w:val="18"/>
          <w:color w:val="auto"/>
        </w:rPr>
      </w:pPr>
    </w:p>
    <w:p>
      <w:pPr>
        <w:ind w:left="1020" w:right="199" w:hanging="328"/>
        <w:spacing w:after="0" w:line="29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Employee Productivity and Retention. </w:t>
      </w:r>
      <w:r>
        <w:rPr>
          <w:rFonts w:ascii="Arial" w:cs="Arial" w:eastAsia="Arial" w:hAnsi="Arial"/>
          <w:sz w:val="16"/>
          <w:szCs w:val="16"/>
          <w:color w:val="auto"/>
        </w:rPr>
        <w:t>Our solution addresses employee absenteeism, poor productivity,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lack of employee retention driven by the stress of suffering from infertility (and undergoing fertility treatment) as well as the back-to-work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pacing w:after="0" w:line="161" w:lineRule="exact"/>
        <w:rPr>
          <w:rFonts w:ascii="Arial" w:cs="Arial" w:eastAsia="Arial" w:hAnsi="Arial"/>
          <w:sz w:val="16"/>
          <w:szCs w:val="16"/>
          <w:color w:val="auto"/>
        </w:rPr>
      </w:pPr>
    </w:p>
    <w:p>
      <w:pPr>
        <w:ind w:left="1020" w:right="79" w:hanging="328"/>
        <w:spacing w:after="0" w:line="296"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Appeal to Existing and Prospective Employees. </w:t>
      </w:r>
      <w:r>
        <w:rPr>
          <w:rFonts w:ascii="Arial" w:cs="Arial" w:eastAsia="Arial" w:hAnsi="Arial"/>
          <w:sz w:val="16"/>
          <w:szCs w:val="16"/>
          <w:color w:val="auto"/>
        </w:rPr>
        <w:t>Better fertility benefits programs can be a key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a company’s overall benefits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Meaningful Value to Our Members</w:t>
      </w:r>
    </w:p>
    <w:p>
      <w:pPr>
        <w:spacing w:after="0" w:line="225" w:lineRule="exact"/>
        <w:rPr>
          <w:sz w:val="20"/>
          <w:szCs w:val="20"/>
          <w:color w:val="auto"/>
        </w:rPr>
      </w:pPr>
    </w:p>
    <w:p>
      <w:pPr>
        <w:ind w:left="1020" w:right="359" w:hanging="328"/>
        <w:spacing w:after="0" w:line="34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Superior Clinical Outcomes. </w:t>
      </w:r>
      <w:r>
        <w:rPr>
          <w:rFonts w:ascii="Arial" w:cs="Arial" w:eastAsia="Arial" w:hAnsi="Arial"/>
          <w:sz w:val="16"/>
          <w:szCs w:val="16"/>
          <w:color w:val="auto"/>
        </w:rPr>
        <w:t>Our members experience healthier pregnancies (with significantly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utilization of single embryo transfer) and superior rates of pregnancy and live births, as well as reduced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819"/>
        <w:spacing w:after="0" w:line="277" w:lineRule="auto"/>
        <w:rPr>
          <w:sz w:val="20"/>
          <w:szCs w:val="20"/>
          <w:color w:val="auto"/>
        </w:rPr>
      </w:pPr>
      <w:r>
        <w:rPr>
          <w:rFonts w:ascii="Arial" w:cs="Arial" w:eastAsia="Arial" w:hAnsi="Arial"/>
          <w:sz w:val="18"/>
          <w:szCs w:val="18"/>
          <w:color w:val="auto"/>
        </w:rPr>
        <w:t>rates of miscarriages and multiple births, saving valuable time and money and limiting personal and professional disruption.</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vMerge w:val="restart"/>
          </w:tcPr>
          <w:p>
            <w:pPr>
              <w:jc w:val="center"/>
              <w:ind w:right="31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1460" w:type="dxa"/>
            <w:vAlign w:val="bottom"/>
            <w:gridSpan w:val="2"/>
          </w:tcPr>
          <w:p>
            <w:pPr>
              <w:jc w:val="center"/>
              <w:ind w:right="11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290"/>
              <w:spacing w:after="0"/>
              <w:rPr>
                <w:sz w:val="20"/>
                <w:szCs w:val="20"/>
                <w:color w:val="auto"/>
              </w:rPr>
            </w:pPr>
            <w:r>
              <w:rPr>
                <w:rFonts w:ascii="Arial" w:cs="Arial" w:eastAsia="Arial" w:hAnsi="Arial"/>
                <w:sz w:val="14"/>
                <w:szCs w:val="14"/>
                <w:b w:val="1"/>
                <w:bCs w:val="1"/>
                <w:color w:val="auto"/>
                <w:w w:val="90"/>
              </w:rPr>
              <w:t>National Averages</w:t>
            </w:r>
          </w:p>
        </w:tc>
        <w:tc>
          <w:tcPr>
            <w:tcW w:w="1660" w:type="dxa"/>
            <w:vAlign w:val="bottom"/>
            <w:gridSpan w:val="2"/>
            <w:vMerge w:val="continue"/>
          </w:tcPr>
          <w:p>
            <w:pPr>
              <w:spacing w:after="0"/>
              <w:rPr>
                <w:sz w:val="12"/>
                <w:szCs w:val="12"/>
                <w:color w:val="auto"/>
              </w:rPr>
            </w:pPr>
          </w:p>
        </w:tc>
        <w:tc>
          <w:tcPr>
            <w:tcW w:w="14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8"/>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Outcome</w:t>
            </w:r>
          </w:p>
        </w:tc>
        <w:tc>
          <w:tcPr>
            <w:tcW w:w="15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6"/>
              </w:rPr>
              <w:t>for All Provider</w:t>
            </w:r>
          </w:p>
        </w:tc>
        <w:tc>
          <w:tcPr>
            <w:tcW w:w="166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8"/>
              </w:rPr>
              <w:t>Averages</w:t>
            </w:r>
          </w:p>
        </w:tc>
        <w:tc>
          <w:tcPr>
            <w:tcW w:w="14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1"/>
        </w:trPr>
        <w:tc>
          <w:tcPr>
            <w:tcW w:w="2480" w:type="dxa"/>
            <w:vAlign w:val="bottom"/>
            <w:gridSpan w:val="2"/>
            <w:vMerge w:val="continue"/>
          </w:tcPr>
          <w:p>
            <w:pPr>
              <w:spacing w:after="0"/>
              <w:rPr>
                <w:sz w:val="14"/>
                <w:szCs w:val="14"/>
                <w:color w:val="auto"/>
              </w:rPr>
            </w:pPr>
          </w:p>
        </w:tc>
        <w:tc>
          <w:tcPr>
            <w:tcW w:w="15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1"/>
              </w:rPr>
              <w:t>Clinics</w:t>
            </w:r>
          </w:p>
        </w:tc>
        <w:tc>
          <w:tcPr>
            <w:tcW w:w="16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for All Patients</w:t>
            </w:r>
          </w:p>
        </w:tc>
        <w:tc>
          <w:tcPr>
            <w:tcW w:w="14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Members Only</w:t>
            </w:r>
            <w:r>
              <w:rPr>
                <w:rFonts w:ascii="Arial" w:cs="Arial" w:eastAsia="Arial" w:hAnsi="Arial"/>
                <w:sz w:val="14"/>
                <w:szCs w:val="14"/>
                <w:b w:val="1"/>
                <w:bCs w:val="1"/>
                <w:color w:val="auto"/>
                <w:w w:val="94"/>
                <w:vertAlign w:val="superscript"/>
              </w:rPr>
              <w:t>(4)</w:t>
            </w:r>
          </w:p>
        </w:tc>
        <w:tc>
          <w:tcPr>
            <w:tcW w:w="0" w:type="dxa"/>
            <w:vAlign w:val="bottom"/>
          </w:tcPr>
          <w:p>
            <w:pPr>
              <w:spacing w:after="0"/>
              <w:rPr>
                <w:sz w:val="1"/>
                <w:szCs w:val="1"/>
                <w:color w:val="auto"/>
              </w:rPr>
            </w:pPr>
          </w:p>
        </w:tc>
      </w:tr>
      <w:tr>
        <w:trPr>
          <w:trHeight w:val="195"/>
        </w:trPr>
        <w:tc>
          <w:tcPr>
            <w:tcW w:w="2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Single embryo transfer rate</w:t>
            </w:r>
            <w:r>
              <w:rPr>
                <w:rFonts w:ascii="Arial" w:cs="Arial" w:eastAsia="Arial" w:hAnsi="Arial"/>
                <w:sz w:val="8"/>
                <w:szCs w:val="8"/>
                <w:color w:val="auto"/>
              </w:rPr>
              <w:t>(1)</w:t>
            </w:r>
          </w:p>
        </w:tc>
        <w:tc>
          <w:tcPr>
            <w:tcW w:w="14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49.5</w:t>
            </w:r>
          </w:p>
        </w:tc>
        <w:tc>
          <w:tcPr>
            <w:tcW w:w="3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53.1</w:t>
            </w:r>
          </w:p>
        </w:tc>
        <w:tc>
          <w:tcPr>
            <w:tcW w:w="36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7"/>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89.0</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Pregnancy rate per IVF</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transfer</w:t>
            </w:r>
            <w:r>
              <w:rPr>
                <w:rFonts w:ascii="Arial" w:cs="Arial" w:eastAsia="Arial" w:hAnsi="Arial"/>
                <w:sz w:val="8"/>
                <w:szCs w:val="8"/>
                <w:color w:val="auto"/>
              </w:rPr>
              <w:t>(2)</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52.5 %</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54.6 %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Miscarriage rate</w:t>
            </w:r>
            <w:r>
              <w:rPr>
                <w:rFonts w:ascii="Arial" w:cs="Arial" w:eastAsia="Arial" w:hAnsi="Arial"/>
                <w:sz w:val="8"/>
                <w:szCs w:val="8"/>
                <w:color w:val="auto"/>
              </w:rPr>
              <w:t>(2)</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18.5 %</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18.2 %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Live birth rate</w:t>
            </w:r>
            <w:r>
              <w:rPr>
                <w:rFonts w:ascii="Arial" w:cs="Arial" w:eastAsia="Arial" w:hAnsi="Arial"/>
                <w:sz w:val="8"/>
                <w:szCs w:val="8"/>
                <w:color w:val="auto"/>
              </w:rPr>
              <w:t>(3)</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43.3 %</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45.3 %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IVF multiples rate</w:t>
            </w:r>
            <w:r>
              <w:rPr>
                <w:rFonts w:ascii="Arial" w:cs="Arial" w:eastAsia="Arial" w:hAnsi="Arial"/>
                <w:sz w:val="8"/>
                <w:szCs w:val="8"/>
                <w:color w:val="auto"/>
              </w:rPr>
              <w:t>(3)</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16.1 %</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15.4 %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68580</wp:posOffset>
            </wp:positionV>
            <wp:extent cx="13112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95" w:lineRule="exact"/>
        <w:rPr>
          <w:sz w:val="20"/>
          <w:szCs w:val="20"/>
          <w:color w:val="auto"/>
        </w:rPr>
      </w:pPr>
    </w:p>
    <w:p>
      <w:pPr>
        <w:ind w:left="360" w:right="399" w:hanging="316"/>
        <w:spacing w:after="0" w:line="277"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2017 National Summary Report, published in 2019.</w:t>
      </w:r>
    </w:p>
    <w:p>
      <w:pPr>
        <w:spacing w:after="0" w:line="170" w:lineRule="exact"/>
        <w:rPr>
          <w:rFonts w:ascii="Arial" w:cs="Arial" w:eastAsia="Arial" w:hAnsi="Arial"/>
          <w:sz w:val="18"/>
          <w:szCs w:val="18"/>
          <w:color w:val="auto"/>
        </w:rPr>
      </w:pPr>
    </w:p>
    <w:p>
      <w:pPr>
        <w:ind w:left="360" w:hanging="31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CDC, 2016 National Summary and Clinic Data Sets, published in 2018.</w:t>
      </w:r>
    </w:p>
    <w:p>
      <w:pPr>
        <w:spacing w:after="0" w:line="225" w:lineRule="exact"/>
        <w:rPr>
          <w:rFonts w:ascii="Arial" w:cs="Arial" w:eastAsia="Arial" w:hAnsi="Arial"/>
          <w:sz w:val="18"/>
          <w:szCs w:val="18"/>
          <w:color w:val="auto"/>
        </w:rPr>
      </w:pPr>
    </w:p>
    <w:p>
      <w:pPr>
        <w:ind w:left="360" w:hanging="31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CDC, 2017 National Summary and Clinic Data Sets, published in 2019.</w:t>
      </w:r>
    </w:p>
    <w:p>
      <w:pPr>
        <w:spacing w:after="0" w:line="225" w:lineRule="exact"/>
        <w:rPr>
          <w:rFonts w:ascii="Arial" w:cs="Arial" w:eastAsia="Arial" w:hAnsi="Arial"/>
          <w:sz w:val="18"/>
          <w:szCs w:val="18"/>
          <w:color w:val="auto"/>
        </w:rPr>
      </w:pPr>
    </w:p>
    <w:p>
      <w:pPr>
        <w:ind w:left="360" w:hanging="31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2018.</w:t>
      </w:r>
    </w:p>
    <w:p>
      <w:pPr>
        <w:spacing w:after="0" w:line="225" w:lineRule="exact"/>
        <w:rPr>
          <w:rFonts w:ascii="Arial" w:cs="Arial" w:eastAsia="Arial" w:hAnsi="Arial"/>
          <w:sz w:val="18"/>
          <w:szCs w:val="18"/>
          <w:color w:val="auto"/>
        </w:rPr>
      </w:pPr>
    </w:p>
    <w:p>
      <w:pPr>
        <w:ind w:left="1020" w:right="199" w:hanging="328"/>
        <w:spacing w:after="0" w:line="25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Coverage. </w:t>
      </w:r>
      <w:r>
        <w:rPr>
          <w:rFonts w:ascii="Arial" w:cs="Arial" w:eastAsia="Arial" w:hAnsi="Arial"/>
          <w:sz w:val="18"/>
          <w:szCs w:val="18"/>
          <w:color w:val="auto"/>
        </w:rPr>
        <w:t>We provide all individuals with access to comprehensive coverage. Our Smart</w:t>
      </w:r>
      <w:r>
        <w:rPr>
          <w:rFonts w:ascii="Arial" w:cs="Arial" w:eastAsia="Arial" w:hAnsi="Arial"/>
          <w:sz w:val="18"/>
          <w:szCs w:val="18"/>
          <w:i w:val="1"/>
          <w:iCs w:val="1"/>
          <w:color w:val="auto"/>
        </w:rPr>
        <w:t xml:space="preserve"> </w:t>
      </w:r>
      <w:r>
        <w:rPr>
          <w:rFonts w:ascii="Arial" w:cs="Arial" w:eastAsia="Arial" w:hAnsi="Arial"/>
          <w:sz w:val="18"/>
          <w:szCs w:val="18"/>
          <w:color w:val="auto"/>
        </w:rPr>
        <w:t>Cycle design ensures that members 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87" w:lineRule="exact"/>
        <w:rPr>
          <w:rFonts w:ascii="Arial" w:cs="Arial" w:eastAsia="Arial" w:hAnsi="Arial"/>
          <w:sz w:val="18"/>
          <w:szCs w:val="18"/>
          <w:color w:val="auto"/>
        </w:rPr>
      </w:pPr>
    </w:p>
    <w:p>
      <w:pPr>
        <w:ind w:left="1020" w:right="459" w:hanging="328"/>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Access for All Members and Dependents. </w:t>
      </w:r>
      <w:r>
        <w:rPr>
          <w:rFonts w:ascii="Arial" w:cs="Arial" w:eastAsia="Arial" w:hAnsi="Arial"/>
          <w:sz w:val="18"/>
          <w:szCs w:val="18"/>
          <w:color w:val="auto"/>
        </w:rPr>
        <w:t>Smart Cycles are available to be utilized across all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groups, including populations not typically covered, such as LGBTQ+ individuals and single mothers by choice.</w:t>
      </w:r>
    </w:p>
    <w:p>
      <w:pPr>
        <w:spacing w:after="0" w:line="183" w:lineRule="exact"/>
        <w:rPr>
          <w:rFonts w:ascii="Arial" w:cs="Arial" w:eastAsia="Arial" w:hAnsi="Arial"/>
          <w:sz w:val="18"/>
          <w:szCs w:val="18"/>
          <w:color w:val="auto"/>
        </w:rPr>
      </w:pPr>
    </w:p>
    <w:p>
      <w:pPr>
        <w:ind w:left="1020" w:right="139" w:hanging="328"/>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Equitable Access to Care. </w:t>
      </w:r>
      <w:r>
        <w:rPr>
          <w:rFonts w:ascii="Arial" w:cs="Arial" w:eastAsia="Arial" w:hAnsi="Arial"/>
          <w:sz w:val="18"/>
          <w:szCs w:val="18"/>
          <w:color w:val="auto"/>
        </w:rPr>
        <w:t>Our Smart Cycle design ensures members receive fair and balanced access to care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not dependent on where members live, how expensive a fertility specialist is or which specific treatments are required.</w:t>
      </w:r>
    </w:p>
    <w:p>
      <w:pPr>
        <w:spacing w:after="0" w:line="183" w:lineRule="exact"/>
        <w:rPr>
          <w:rFonts w:ascii="Arial" w:cs="Arial" w:eastAsia="Arial" w:hAnsi="Arial"/>
          <w:sz w:val="18"/>
          <w:szCs w:val="18"/>
          <w:color w:val="auto"/>
        </w:rPr>
      </w:pPr>
    </w:p>
    <w:p>
      <w:pPr>
        <w:ind w:left="1020" w:right="119" w:hanging="328"/>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High-Touch Concierge Member Experience. </w:t>
      </w:r>
      <w:r>
        <w:rPr>
          <w:rFonts w:ascii="Arial" w:cs="Arial" w:eastAsia="Arial" w:hAnsi="Arial"/>
          <w:sz w:val="18"/>
          <w:szCs w:val="18"/>
          <w:color w:val="auto"/>
        </w:rPr>
        <w:t>We provide our members with high-touch, end-to-end concierge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including logistical assistance, clinical guidance and emotional support through our PCAs and our in-house clinical staff.</w:t>
      </w:r>
    </w:p>
    <w:p>
      <w:pPr>
        <w:spacing w:after="0" w:line="183" w:lineRule="exact"/>
        <w:rPr>
          <w:rFonts w:ascii="Arial" w:cs="Arial" w:eastAsia="Arial" w:hAnsi="Arial"/>
          <w:sz w:val="18"/>
          <w:szCs w:val="18"/>
          <w:color w:val="auto"/>
        </w:rPr>
      </w:pPr>
    </w:p>
    <w:p>
      <w:pPr>
        <w:ind w:left="1020" w:right="139" w:hanging="328"/>
        <w:spacing w:after="0" w:line="255"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Access to Selective, Premier Fertility Specialist Network. </w:t>
      </w:r>
      <w:r>
        <w:rPr>
          <w:rFonts w:ascii="Arial" w:cs="Arial" w:eastAsia="Arial" w:hAnsi="Arial"/>
          <w:sz w:val="18"/>
          <w:szCs w:val="18"/>
          <w:color w:val="auto"/>
        </w:rPr>
        <w:t>Our solution provides members with access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nation’s most desired fertility providers, including approximately 800 fertility specialists who practice at approximately 600 provider clinic locations throughout the United States. Our network includes 22 of the top 25 fertility practice groups by volume in the United States according to 2017 CDC data. In addition, approximately 30% of our provider clinics do not broadly participate in conventional health insurance carrier networks.</w:t>
      </w:r>
    </w:p>
    <w:p>
      <w:pPr>
        <w:spacing w:after="0" w:line="192" w:lineRule="exact"/>
        <w:rPr>
          <w:rFonts w:ascii="Arial" w:cs="Arial" w:eastAsia="Arial" w:hAnsi="Arial"/>
          <w:sz w:val="18"/>
          <w:szCs w:val="18"/>
          <w:color w:val="auto"/>
        </w:rPr>
      </w:pPr>
    </w:p>
    <w:p>
      <w:pPr>
        <w:jc w:val="both"/>
        <w:ind w:left="1020" w:right="579" w:hanging="328"/>
        <w:spacing w:after="0" w:line="342"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Integrated Pharmacy Benefits Solution. </w:t>
      </w:r>
      <w:r>
        <w:rPr>
          <w:rFonts w:ascii="Arial" w:cs="Arial" w:eastAsia="Arial" w:hAnsi="Arial"/>
          <w:sz w:val="16"/>
          <w:szCs w:val="16"/>
          <w:color w:val="auto"/>
        </w:rPr>
        <w:t>Progyny Rx provides members with a simplified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timely medication delivery and member support from pharmacy clinicians seven days a week.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Meaningful Value to Our Fertility Specialists</w:t>
      </w:r>
    </w:p>
    <w:p>
      <w:pPr>
        <w:spacing w:after="0" w:line="225" w:lineRule="exact"/>
        <w:rPr>
          <w:sz w:val="20"/>
          <w:szCs w:val="20"/>
          <w:color w:val="auto"/>
        </w:rPr>
      </w:pPr>
    </w:p>
    <w:p>
      <w:pPr>
        <w:ind w:left="1020" w:right="179" w:hanging="328"/>
        <w:spacing w:after="0" w:line="30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Members Supported With a Comprehensive Benefit. </w:t>
      </w:r>
      <w:r>
        <w:rPr>
          <w:rFonts w:ascii="Arial" w:cs="Arial" w:eastAsia="Arial" w:hAnsi="Arial"/>
          <w:sz w:val="16"/>
          <w:szCs w:val="16"/>
          <w:color w:val="auto"/>
        </w:rPr>
        <w:t>Our solutions allow our members to arrive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fertility specialist with a fully-covered 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57" w:lineRule="exact"/>
        <w:rPr>
          <w:rFonts w:ascii="Arial" w:cs="Arial" w:eastAsia="Arial" w:hAnsi="Arial"/>
          <w:sz w:val="16"/>
          <w:szCs w:val="16"/>
          <w:color w:val="auto"/>
        </w:rPr>
      </w:pPr>
    </w:p>
    <w:p>
      <w:pPr>
        <w:ind w:left="1020" w:right="259" w:hanging="328"/>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Eliminate Step Therapy Protocols. </w:t>
      </w:r>
      <w:r>
        <w:rPr>
          <w:rFonts w:ascii="Arial" w:cs="Arial" w:eastAsia="Arial" w:hAnsi="Arial"/>
          <w:sz w:val="18"/>
          <w:szCs w:val="18"/>
          <w:color w:val="auto"/>
        </w:rPr>
        <w:t>Our network of fertility specialists have access to the latest science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through our innovative Smart Cycles, which free our fertility specialists from having to follow the ineffective protocols common to conventional coverage and allow them to pursue the most effective treatments first, thereby saving time and money.</w:t>
      </w:r>
    </w:p>
    <w:p>
      <w:pPr>
        <w:spacing w:after="0" w:line="186" w:lineRule="exact"/>
        <w:rPr>
          <w:rFonts w:ascii="Arial" w:cs="Arial" w:eastAsia="Arial" w:hAnsi="Arial"/>
          <w:sz w:val="18"/>
          <w:szCs w:val="18"/>
          <w:color w:val="auto"/>
        </w:rPr>
      </w:pPr>
    </w:p>
    <w:p>
      <w:pPr>
        <w:jc w:val="both"/>
        <w:ind w:left="1020" w:right="679" w:hanging="32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Simplified Administration. </w:t>
      </w:r>
      <w:r>
        <w:rPr>
          <w:rFonts w:ascii="Arial" w:cs="Arial" w:eastAsia="Arial" w:hAnsi="Arial"/>
          <w:sz w:val="18"/>
          <w:szCs w:val="18"/>
          <w:color w:val="auto"/>
        </w:rPr>
        <w:t>Once a Smart Cycle treatment is authorized, fertility specialists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are able to prescribe the optimal treatment plan without any need for pre-certification or pre-authorization.</w:t>
      </w:r>
    </w:p>
    <w:p>
      <w:pPr>
        <w:spacing w:after="0" w:line="183" w:lineRule="exact"/>
        <w:rPr>
          <w:rFonts w:ascii="Arial" w:cs="Arial" w:eastAsia="Arial" w:hAnsi="Arial"/>
          <w:sz w:val="18"/>
          <w:szCs w:val="18"/>
          <w:color w:val="auto"/>
        </w:rPr>
      </w:pPr>
    </w:p>
    <w:p>
      <w:pPr>
        <w:ind w:left="1020" w:right="279" w:hanging="328"/>
        <w:spacing w:after="0" w:line="30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Superior Clinical Outcomes. </w:t>
      </w:r>
      <w:r>
        <w:rPr>
          <w:rFonts w:ascii="Arial" w:cs="Arial" w:eastAsia="Arial" w:hAnsi="Arial"/>
          <w:sz w:val="16"/>
          <w:szCs w:val="16"/>
          <w:color w:val="auto"/>
        </w:rPr>
        <w:t>Outcomes for Progyny members across our fertility specialist network are</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to the average outcomes that these same provider clinics report to the CDC for all of their patients. For example, as shown in the prior table, the in-network average live birth rate for Progyny members is 54.5%, as compared to the 45.3% average live birth rate for all of the patients at those same clinics.</w:t>
      </w:r>
    </w:p>
    <w:p>
      <w:pPr>
        <w:spacing w:after="0" w:line="157" w:lineRule="exact"/>
        <w:rPr>
          <w:rFonts w:ascii="Arial" w:cs="Arial" w:eastAsia="Arial" w:hAnsi="Arial"/>
          <w:sz w:val="16"/>
          <w:szCs w:val="16"/>
          <w:color w:val="auto"/>
        </w:rPr>
      </w:pPr>
    </w:p>
    <w:p>
      <w:pPr>
        <w:ind w:left="1020" w:right="59" w:hanging="328"/>
        <w:spacing w:after="0" w:line="286"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Eliminating Financial Risk Associated With Collections. </w:t>
      </w:r>
      <w:r>
        <w:rPr>
          <w:rFonts w:ascii="Arial" w:cs="Arial" w:eastAsia="Arial" w:hAnsi="Arial"/>
          <w:sz w:val="17"/>
          <w:szCs w:val="17"/>
          <w:color w:val="auto"/>
        </w:rPr>
        <w:t>We assume full responsibility for the collection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all members’ deductibles and coinsurance, thereby eliminating the burden and cost of collection (and bad debt expense) for member payments that our provider clinics otherwise would experience.</w:t>
      </w:r>
    </w:p>
    <w:p>
      <w:pPr>
        <w:spacing w:after="0" w:line="165" w:lineRule="exact"/>
        <w:rPr>
          <w:rFonts w:ascii="Arial" w:cs="Arial" w:eastAsia="Arial" w:hAnsi="Arial"/>
          <w:sz w:val="17"/>
          <w:szCs w:val="17"/>
          <w:color w:val="auto"/>
        </w:rPr>
      </w:pPr>
    </w:p>
    <w:p>
      <w:pPr>
        <w:ind w:left="1020" w:right="319" w:hanging="328"/>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Sharing and Reporting. </w:t>
      </w:r>
      <w:r>
        <w:rPr>
          <w:rFonts w:ascii="Arial" w:cs="Arial" w:eastAsia="Arial" w:hAnsi="Arial"/>
          <w:sz w:val="18"/>
          <w:szCs w:val="18"/>
          <w:color w:val="auto"/>
        </w:rPr>
        <w:t>We produce clinic scorecards quarterly with key performance indicators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 fertility specialists to compare their results with peer averages.</w:t>
      </w:r>
    </w:p>
    <w:p>
      <w:pPr>
        <w:spacing w:after="0" w:line="170" w:lineRule="exact"/>
        <w:rPr>
          <w:rFonts w:ascii="Arial" w:cs="Arial" w:eastAsia="Arial" w:hAnsi="Arial"/>
          <w:sz w:val="18"/>
          <w:szCs w:val="18"/>
          <w:color w:val="auto"/>
        </w:rPr>
      </w:pPr>
    </w:p>
    <w:p>
      <w:pPr>
        <w:jc w:val="both"/>
        <w:ind w:left="1020" w:right="239" w:hanging="328"/>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Higher Volumes and Improved Financial Performance. </w:t>
      </w:r>
      <w:r>
        <w:rPr>
          <w:rFonts w:ascii="Arial" w:cs="Arial" w:eastAsia="Arial" w:hAnsi="Arial"/>
          <w:sz w:val="18"/>
          <w:szCs w:val="18"/>
          <w:color w:val="auto"/>
        </w:rPr>
        <w:t>Fertility specialists in our network often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patient volume, and because of our comprehensive benefits design, an increase in the number of patients who progress from consultation to treatment.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Market Leadership</w:t>
      </w:r>
    </w:p>
    <w:p>
      <w:pPr>
        <w:spacing w:after="0" w:line="225"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We are a leading benefits management company specializing in fertility and family building benefits solutions in the United States, with a client base of over 130 self-insured employer clients representing approximately 2.1 million members. We drive superior clinical outcomes for our members including higher pregnancy success rates, lower miscarriage rates, fewer multiple births and a higher live birth rate. We are a recognized and trusted brand and believe that our leadership and market differentiation is evidenced by our retention of substantially all of our clients since we first began offering our fertility benefits solutions in 2016.</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Differentiated Model Drives Superior Clinical Outcomes at Reduced Overall Cost</w:t>
      </w:r>
    </w:p>
    <w:p>
      <w:pPr>
        <w:spacing w:after="0" w:line="225"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In contrast to conventional fee-for-service coverage, which is designed to simply contain utilization, our case management-driven benefits model is comprehensive, does not exhaust coverage mid treatment cycle, includes access to the latest technologies and best clinical practices and drives superior outcomes. The success of our plan design in driving more favorable outcomes is evidenced by the fact that outcomes for Progyny members across our fertility specialist network are superior to the average outcomes that these same provider clinics report to the CDC for all of their patients.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In addition to the tangible medical and pharmacy cost savings, our clients are also able to avoid some of the indirect costs of infertility such as employee absenteeism and loss of productivity caused by stress and depression, as well as lack of employee retention caused by multiple births.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Superior Member Experience</w:t>
      </w:r>
    </w:p>
    <w:p>
      <w:pPr>
        <w:spacing w:after="0" w:line="225"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believe that a key differentiator of our services is our concierge member support delivered by our PCAs who are unique to our platform and a valuable resource to our members. PCAs provide meaningful education, clinical guidance and emotional support for our members and are available throughout the member's fertility and family building journey. In addition, the member experience is tailored to meet the unique needs of our clients' employees and the PCAs have expertise in fertility treatment issues uniquely affecting LGBTQ+ individuals, single mothers by choice and individuals looking to pursue surrogacy or adoption.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Selective, Premier Fertility Specialist Network</w:t>
      </w:r>
    </w:p>
    <w:p>
      <w:pPr>
        <w:spacing w:after="0" w:line="225"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Our fertility specialists are thought leaders in the treatment of fertility and are driving differentiated outcomes for our members. Because of the unique Progyny benefits design, our fertility specialists can utilize the most effective treatment for members the first time, without the restrictions of conventional benefits programs. Our network includes 22 of the top 25 fertility practice groups by volume in the United States according to 2017 CDC data.</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Value-Added Integrated Pharmacy Program</w:t>
      </w:r>
    </w:p>
    <w:p>
      <w:pPr>
        <w:spacing w:after="0" w:line="225"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We more effectively manage the complex fertility medication process through a single authorization mechanism for fertility treatments and the related prescription drugs, with guaranteed timely delivery and extensive clinical support around drug storage and administration techniques, including injection training, seven days a week. In addition to the unit-cost savings we deliver through our negotiated formulary rates, we also employ an innovative cost containment program that has enabled our clients and members to save additional costs through the reduction in overprescribing that is typical of conventional fertility pharmacy management.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Purpose-Built, Data-Driven and Disruptive Platform</w:t>
      </w:r>
    </w:p>
    <w:p>
      <w:pPr>
        <w:spacing w:after="0" w:line="225"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The outcomes data we collect and analyze provides insights across our business, including the creation and management of our plan design and clinical protocols to ensure the efficiency of employer expenditures. We also manage our fertility specialist network and ensure adherence to Progyny practice standards based on this data to ensure that fertility specialists are driving improved clinical outcomes and member satisfaction.</w:t>
      </w:r>
    </w:p>
    <w:p>
      <w:pPr>
        <w:spacing w:after="0" w:line="171" w:lineRule="exact"/>
        <w:rPr>
          <w:sz w:val="20"/>
          <w:szCs w:val="20"/>
          <w:color w:val="auto"/>
        </w:rPr>
      </w:pPr>
    </w:p>
    <w:p>
      <w:pPr>
        <w:ind w:left="40" w:right="139" w:firstLine="648"/>
        <w:spacing w:after="0" w:line="296" w:lineRule="auto"/>
        <w:rPr>
          <w:sz w:val="20"/>
          <w:szCs w:val="20"/>
          <w:color w:val="auto"/>
        </w:rPr>
      </w:pPr>
      <w:r>
        <w:rPr>
          <w:rFonts w:ascii="Arial" w:cs="Arial" w:eastAsia="Arial" w:hAnsi="Arial"/>
          <w:sz w:val="16"/>
          <w:szCs w:val="16"/>
          <w:color w:val="auto"/>
        </w:rPr>
        <w:t>A key differentiator of our solution is our in-depth client reporting. We synthesize our data into comprehensive reporting for our employer clients so that they can see the detail of the utilization of the benefit by their employees, their expenditures, the outcomes and value created and their employees' satisfaction with the experience. We believe we are the only benefits manager that tracks fertility outcomes from medical record data on a timely basis, and we believe this unique data reporting to be important for our employer clients to understand why Progyny offers a superior solution.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Highly Scalable Platform</w:t>
      </w:r>
    </w:p>
    <w:p>
      <w:pPr>
        <w:spacing w:after="0" w:line="22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Since launching our benefits solution, we have increased our client base every year without any dilution to or decrease in the level and quality of services. Once we begin providing services to a client, we believe it is difficult for our clients to replicate our outcomes with another solution. In addition, we have been able to add new solutions and technologies to our offering while sustaining this growth and believe our platform is capable of continuing to rapidly adopt more clients without meaningful infrastructure enhancements.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Deeply Experienced Management Team with Strong Culture</w:t>
      </w:r>
    </w:p>
    <w:p>
      <w:pPr>
        <w:spacing w:after="0" w:line="225" w:lineRule="exact"/>
        <w:rPr>
          <w:sz w:val="20"/>
          <w:szCs w:val="20"/>
          <w:color w:val="auto"/>
        </w:rPr>
      </w:pPr>
    </w:p>
    <w:p>
      <w:pPr>
        <w:ind w:left="40" w:right="519" w:firstLine="648"/>
        <w:spacing w:after="0" w:line="342" w:lineRule="auto"/>
        <w:rPr>
          <w:sz w:val="20"/>
          <w:szCs w:val="20"/>
          <w:color w:val="auto"/>
        </w:rPr>
      </w:pPr>
      <w:r>
        <w:rPr>
          <w:rFonts w:ascii="Arial" w:cs="Arial" w:eastAsia="Arial" w:hAnsi="Arial"/>
          <w:sz w:val="16"/>
          <w:szCs w:val="16"/>
          <w:color w:val="auto"/>
        </w:rPr>
        <w:t>Our management team has extensive operational experience and background in healthcare, technology and services. Additionally, our sales, support and development teams have significant healthcare, technology and benefits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99"/>
        <w:spacing w:after="0" w:line="308" w:lineRule="auto"/>
        <w:rPr>
          <w:sz w:val="20"/>
          <w:szCs w:val="20"/>
          <w:color w:val="auto"/>
        </w:rPr>
      </w:pPr>
      <w:r>
        <w:rPr>
          <w:rFonts w:ascii="Arial" w:cs="Arial" w:eastAsia="Arial" w:hAnsi="Arial"/>
          <w:sz w:val="17"/>
          <w:szCs w:val="17"/>
          <w:color w:val="auto"/>
        </w:rPr>
        <w:t>experience and are a key competitive advantage to our success. Their demonstrated track record of success in running public companies and scaling growth organizations will allow us to continue to be leaders in our industry.</w:t>
      </w:r>
    </w:p>
    <w:p>
      <w:pPr>
        <w:spacing w:after="0" w:line="146" w:lineRule="exact"/>
        <w:rPr>
          <w:sz w:val="20"/>
          <w:szCs w:val="20"/>
          <w:color w:val="auto"/>
        </w:rPr>
      </w:pPr>
    </w:p>
    <w:p>
      <w:pPr>
        <w:jc w:val="both"/>
        <w:ind w:left="40" w:right="299" w:firstLine="648"/>
        <w:spacing w:after="0" w:line="286" w:lineRule="auto"/>
        <w:rPr>
          <w:sz w:val="20"/>
          <w:szCs w:val="20"/>
          <w:color w:val="auto"/>
        </w:rPr>
      </w:pPr>
      <w:r>
        <w:rPr>
          <w:rFonts w:ascii="Arial" w:cs="Arial" w:eastAsia="Arial" w:hAnsi="Arial"/>
          <w:sz w:val="17"/>
          <w:szCs w:val="17"/>
          <w:color w:val="auto"/>
        </w:rPr>
        <w:t>A large part of our continued success is driven by our unique culture and the dedication and commitment of our Progyny team. We have been recognized by Modern Healthcare as one of the Best Places to Work in Healthcare in 2018 and 2019, positioning us well to continue to attract and retain top talent.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Expand Our Client Base</w:t>
      </w:r>
    </w:p>
    <w:p>
      <w:pPr>
        <w:spacing w:after="0" w:line="225"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7"/>
          <w:szCs w:val="17"/>
          <w:color w:val="auto"/>
        </w:rPr>
        <w:t>We intend to continue increasing our client base of self-insured employers throughout the United States by leveraging our experienced salesforce and strong relationships with benefits consultants. We believe we have an addressable market of approximately 8,000 potential self-insured employer clients in the United States and, with our current base of over 130 clients, are still in the early stages of our growth trajectory. Importantly, as we have continued to grow, we have meaningfully diversified our client base across an array of different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Capitalize on Embedded Growth Potential within Our Existing Client Base</w:t>
      </w:r>
    </w:p>
    <w:p>
      <w:pPr>
        <w:spacing w:after="0" w:line="225" w:lineRule="exact"/>
        <w:rPr>
          <w:sz w:val="20"/>
          <w:szCs w:val="20"/>
          <w:color w:val="auto"/>
        </w:rPr>
      </w:pPr>
    </w:p>
    <w:p>
      <w:pPr>
        <w:ind w:left="40" w:right="219" w:firstLine="648"/>
        <w:spacing w:after="0" w:line="255" w:lineRule="auto"/>
        <w:rPr>
          <w:sz w:val="20"/>
          <w:szCs w:val="20"/>
          <w:color w:val="auto"/>
        </w:rPr>
      </w:pPr>
      <w:r>
        <w:rPr>
          <w:rFonts w:ascii="Arial" w:cs="Arial" w:eastAsia="Arial" w:hAnsi="Arial"/>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Expansion of Progyny Benefits Solutions within Our Existing Client Base</w:t>
      </w:r>
    </w:p>
    <w:p>
      <w:pPr>
        <w:spacing w:after="0" w:line="225"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6"/>
          <w:szCs w:val="16"/>
          <w:color w:val="auto"/>
        </w:rPr>
        <w:t>We believe we will continue to see growth from existing clients that add incremental services to their fertility benefits program. For example, a client can expand the fertility benefits they offer to their employees by increasing the number of Smart Cycles they contract for. In addition, our fertility benefits solution clients can purchase our add-on Progyny Rx solution. We introduced Progyny Rx in the third quarter of 2017 and went live with a select number of clients in January 2018. Currently, 70% of our clients are utilizing this solution, including 75% of the clients we signed in 2019. We believe our sales and marketing capabilities play an important role in informing and educating clients about the additional value and impact we can provide to them and their members by enhancing their benefit program.</w:t>
      </w:r>
    </w:p>
    <w:p>
      <w:pPr>
        <w:spacing w:after="0" w:line="166" w:lineRule="exact"/>
        <w:rPr>
          <w:sz w:val="20"/>
          <w:szCs w:val="20"/>
          <w:color w:val="auto"/>
        </w:rPr>
      </w:pPr>
    </w:p>
    <w:p>
      <w:pPr>
        <w:ind w:left="700" w:right="399"/>
        <w:spacing w:after="0" w:line="277" w:lineRule="auto"/>
        <w:rPr>
          <w:sz w:val="20"/>
          <w:szCs w:val="20"/>
          <w:color w:val="auto"/>
        </w:rPr>
      </w:pPr>
      <w:r>
        <w:rPr>
          <w:rFonts w:ascii="Arial" w:cs="Arial" w:eastAsia="Arial" w:hAnsi="Arial"/>
          <w:sz w:val="18"/>
          <w:szCs w:val="18"/>
          <w:b w:val="1"/>
          <w:bCs w:val="1"/>
          <w:i w:val="1"/>
          <w:iCs w:val="1"/>
          <w:color w:val="auto"/>
        </w:rPr>
        <w:t>New Services and Addressable Markets to Enhance the Depth and Breadth of Our Comprehensive Fertility Offering</w:t>
      </w:r>
    </w:p>
    <w:p>
      <w:pPr>
        <w:spacing w:after="0" w:line="170" w:lineRule="exact"/>
        <w:rPr>
          <w:sz w:val="20"/>
          <w:szCs w:val="20"/>
          <w:color w:val="auto"/>
        </w:rPr>
      </w:pPr>
    </w:p>
    <w:p>
      <w:pPr>
        <w:ind w:left="40" w:right="159" w:firstLine="648"/>
        <w:spacing w:after="0" w:line="253" w:lineRule="auto"/>
        <w:rPr>
          <w:sz w:val="20"/>
          <w:szCs w:val="20"/>
          <w:color w:val="auto"/>
        </w:rPr>
      </w:pPr>
      <w:r>
        <w:rPr>
          <w:rFonts w:ascii="Arial" w:cs="Arial" w:eastAsia="Arial" w:hAnsi="Arial"/>
          <w:sz w:val="18"/>
          <w:szCs w:val="18"/>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do so in the future. To date, we have identified several ways we believe we can potentially expand our offering and expand our client base in the future. We will continue to evaluate opportunities as our platform continues to expand.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Clients</w:t>
      </w:r>
    </w:p>
    <w:p>
      <w:pPr>
        <w:spacing w:after="0" w:line="229" w:lineRule="exact"/>
        <w:rPr>
          <w:sz w:val="20"/>
          <w:szCs w:val="20"/>
          <w:color w:val="auto"/>
        </w:rPr>
      </w:pPr>
    </w:p>
    <w:p>
      <w:pPr>
        <w:ind w:left="40" w:right="419" w:firstLine="648"/>
        <w:spacing w:after="0" w:line="263" w:lineRule="auto"/>
        <w:rPr>
          <w:sz w:val="20"/>
          <w:szCs w:val="20"/>
          <w:color w:val="auto"/>
        </w:rPr>
      </w:pPr>
      <w:r>
        <w:rPr>
          <w:rFonts w:ascii="Arial" w:cs="Arial" w:eastAsia="Arial" w:hAnsi="Arial"/>
          <w:sz w:val="18"/>
          <w:szCs w:val="18"/>
          <w:color w:val="auto"/>
        </w:rPr>
        <w:t>We currently serve over 130 self-insured employers in the United States across more than 25 industries. Our current clients, who are industry leaders across both high-growth and mature industries and range in size from 1,000 to 250,000 employees, represent approximately 2.1 million covered lives.</w:t>
      </w:r>
    </w:p>
    <w:p>
      <w:pPr>
        <w:spacing w:after="0" w:line="184"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In 2019, 2018 and 2017, each of our largest three clients represented more than 10% of our total revenue. For the years ended December 31, 2019, 2018 and 2017, Google Inc. accounted for 16%, 24% and 45% of our total revenue, respectively. In addition, Amazon.com, Inc. accounted for 15% of our total revenue for the year ended December 31, 2019. Finally, Microsoft Corporation accounted for 10% and 14% of our total revenue for the years ended December 31, 2019 and December 31, 2018, respectively.</w:t>
      </w:r>
    </w:p>
    <w:p>
      <w:pPr>
        <w:spacing w:after="0" w:line="188"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Our clients represent a large proportion of companies identified by FertilityIQ as the “best companies to work for as a fertility patient” in their 2019-2020 industry study. We believe that our employer clients are thought leaders in their respective industries and are creating a network effect that is helping to drive more widespread adoption of fertility benefits in their specific industries</w:t>
      </w:r>
    </w:p>
    <w:p>
      <w:pPr>
        <w:spacing w:after="0" w:line="187"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We have clients in the technology, consumer retail, industrial, healthcare, media, insurance, legal, food and beverage, financial services, life sciences, professional services, energy, manufacturing, logistics, transportation, real estate, nonprofit and hospitality sectors.</w:t>
      </w:r>
    </w:p>
    <w:p>
      <w:pPr>
        <w:spacing w:after="0" w:line="184" w:lineRule="exact"/>
        <w:rPr>
          <w:sz w:val="20"/>
          <w:szCs w:val="20"/>
          <w:color w:val="auto"/>
        </w:rPr>
      </w:pPr>
    </w:p>
    <w:p>
      <w:pPr>
        <w:ind w:left="40" w:right="699" w:firstLine="648"/>
        <w:spacing w:after="0" w:line="263" w:lineRule="auto"/>
        <w:rPr>
          <w:sz w:val="20"/>
          <w:szCs w:val="20"/>
          <w:color w:val="auto"/>
        </w:rPr>
      </w:pPr>
      <w:r>
        <w:rPr>
          <w:rFonts w:ascii="Arial" w:cs="Arial" w:eastAsia="Arial" w:hAnsi="Arial"/>
          <w:sz w:val="18"/>
          <w:szCs w:val="18"/>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84"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Given that the majority of our clients contract with us for a January 1</w:t>
      </w:r>
      <w:r>
        <w:rPr>
          <w:rFonts w:ascii="Arial" w:cs="Arial" w:eastAsia="Arial" w:hAnsi="Arial"/>
          <w:sz w:val="8"/>
          <w:szCs w:val="8"/>
          <w:color w:val="auto"/>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2019 sales cycle, more clients have opted for comprehensive coverage, with substantially all of our new clients electing for Progyny Rx, multiple Smart Cycles and/or egg-freezing.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Competitive Landscape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believe we are the leader in the market for employer-sponsored fertility benefits and family building solutions.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225" w:lineRule="exact"/>
        <w:rPr>
          <w:sz w:val="20"/>
          <w:szCs w:val="20"/>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value and comprehensiveness of the benefits solution and superior outcomes for employees;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benefits plan design;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for all employees and their dependents, including LGBTQ+ and single mothers by choice;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equitable access to care across geographies;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treatment plans that maximize effectiveness and achieve desired outcomes;</w:t>
      </w:r>
    </w:p>
    <w:p>
      <w:pPr>
        <w:spacing w:after="0" w:line="225" w:lineRule="exact"/>
        <w:rPr>
          <w:rFonts w:ascii="Arial" w:cs="Arial" w:eastAsia="Arial" w:hAnsi="Arial"/>
          <w:sz w:val="18"/>
          <w:szCs w:val="18"/>
          <w:color w:val="auto"/>
        </w:rPr>
      </w:pPr>
    </w:p>
    <w:p>
      <w:pPr>
        <w:ind w:left="1020" w:right="679" w:hanging="328"/>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experience, including unlimited dedicated patient education, clinical guidance and emotional support;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a network of high-quality fertility specialists;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reporting and sharing;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an integrated pharmacy solution.</w:t>
      </w:r>
    </w:p>
    <w:p>
      <w:pPr>
        <w:spacing w:after="0" w:line="225"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While we do not believe any single competitor offers a comparably robust, integrated fertility and family building benefits solution, we compete primarily with health insurance companies and benefits administrators that also provide fertility benefits management services as part of their overall healthcare coverage. These competitors include conventional health insurance carriers, such as UnitedHealthcare, Cigna, Aetna and members of the Blue Cross Blue Shield Association.</w:t>
      </w:r>
    </w:p>
    <w:p>
      <w:pPr>
        <w:spacing w:after="0" w:line="157" w:lineRule="exact"/>
        <w:rPr>
          <w:sz w:val="20"/>
          <w:szCs w:val="20"/>
          <w:color w:val="auto"/>
        </w:rPr>
      </w:pPr>
    </w:p>
    <w:p>
      <w:pPr>
        <w:ind w:left="40" w:right="639" w:firstLine="648"/>
        <w:spacing w:after="0" w:line="277" w:lineRule="auto"/>
        <w:rPr>
          <w:sz w:val="20"/>
          <w:szCs w:val="20"/>
          <w:color w:val="auto"/>
        </w:rPr>
      </w:pPr>
      <w:r>
        <w:rPr>
          <w:rFonts w:ascii="Arial" w:cs="Arial" w:eastAsia="Arial" w:hAnsi="Arial"/>
          <w:sz w:val="18"/>
          <w:szCs w:val="18"/>
          <w:color w:val="auto"/>
        </w:rPr>
        <w:t>Other competitors who currently provide fertility benefits management services to employers include WIN Fertility and Optum Fertility Solutions.</w:t>
      </w:r>
    </w:p>
    <w:p>
      <w:pPr>
        <w:spacing w:after="0" w:line="170" w:lineRule="exact"/>
        <w:rPr>
          <w:sz w:val="20"/>
          <w:szCs w:val="20"/>
          <w:color w:val="auto"/>
        </w:rPr>
      </w:pPr>
    </w:p>
    <w:p>
      <w:pPr>
        <w:ind w:left="40" w:right="219" w:firstLine="648"/>
        <w:spacing w:after="0" w:line="272" w:lineRule="auto"/>
        <w:rPr>
          <w:sz w:val="20"/>
          <w:szCs w:val="20"/>
          <w:color w:val="auto"/>
        </w:rPr>
      </w:pPr>
      <w:r>
        <w:rPr>
          <w:rFonts w:ascii="Arial" w:cs="Arial" w:eastAsia="Arial" w:hAnsi="Arial"/>
          <w:sz w:val="17"/>
          <w:szCs w:val="17"/>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These emerging companies, such as Carrot Fertility and Maven Clinic, currently offer employees post-tax reimbursement programs for fertility benefits. In addition to our unique plan design, member support and fertility specialist network, one of the key structural differences between our pre-tax benefit and their post-tax reimbursement programs is that the individual receiving reimbursement for fertility treatments must pay income taxes on the amount of that reimbursement for the post-tax programs.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40" w:right="159" w:firstLine="648"/>
        <w:spacing w:after="0" w:line="272" w:lineRule="auto"/>
        <w:rPr>
          <w:sz w:val="20"/>
          <w:szCs w:val="20"/>
          <w:color w:val="auto"/>
        </w:rPr>
      </w:pPr>
      <w:r>
        <w:rPr>
          <w:rFonts w:ascii="Arial" w:cs="Arial" w:eastAsia="Arial" w:hAnsi="Arial"/>
          <w:sz w:val="17"/>
          <w:szCs w:val="17"/>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over 50 new clients that we added in 2019, and the fact that approximately 65% of our current clients terminated their existing fertility coverage to switch to Progyny.</w:t>
      </w:r>
    </w:p>
    <w:p>
      <w:pPr>
        <w:spacing w:after="0" w:line="177" w:lineRule="exact"/>
        <w:rPr>
          <w:sz w:val="20"/>
          <w:szCs w:val="20"/>
          <w:color w:val="auto"/>
        </w:rPr>
      </w:pPr>
    </w:p>
    <w:p>
      <w:pPr>
        <w:ind w:left="40" w:right="239" w:firstLine="648"/>
        <w:spacing w:after="0" w:line="293" w:lineRule="auto"/>
        <w:rPr>
          <w:sz w:val="20"/>
          <w:szCs w:val="20"/>
          <w:color w:val="auto"/>
        </w:rPr>
      </w:pPr>
      <w:r>
        <w:rPr>
          <w:rFonts w:ascii="Arial" w:cs="Arial" w:eastAsia="Arial" w:hAnsi="Arial"/>
          <w:sz w:val="16"/>
          <w:szCs w:val="16"/>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As a participant in the health 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 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left="40" w:right="79" w:firstLine="648"/>
        <w:spacing w:after="0" w:line="311" w:lineRule="auto"/>
        <w:rPr>
          <w:sz w:val="20"/>
          <w:szCs w:val="20"/>
          <w:color w:val="auto"/>
        </w:rPr>
      </w:pPr>
      <w:r>
        <w:rPr>
          <w:rFonts w:ascii="Arial" w:cs="Arial" w:eastAsia="Arial" w:hAnsi="Arial"/>
          <w:sz w:val="16"/>
          <w:szCs w:val="16"/>
          <w:color w:val="auto"/>
        </w:rPr>
        <w:t>It is uncertain how our operations will be affected by the changing political, legislative, and regulatory landscapes, as well as other influences impacting the healthcare industry. While the most salient vehicle for healthcare reform, the Patient Protection and Affordable Care Act, or ACA, does not directly regulate our business as a benefit area,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90" w:lineRule="auto"/>
        <w:rPr>
          <w:sz w:val="20"/>
          <w:szCs w:val="20"/>
          <w:color w:val="auto"/>
        </w:rPr>
      </w:pPr>
      <w:r>
        <w:rPr>
          <w:rFonts w:ascii="Arial" w:cs="Arial" w:eastAsia="Arial" w:hAnsi="Arial"/>
          <w:sz w:val="16"/>
          <w:szCs w:val="16"/>
          <w:color w:val="auto"/>
        </w:rPr>
        <w:t>it does affect the coverage and plan designs that are or will be provided by certain insurance carriers and certain of our clients, as well as the overall reimbursement environment for healthcare providers.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a decision is expected to be made. Other health reform efforts have been proposed by members of Congress, such as measures that would expand the role of government-sponsored coverage, including further reform to the ACA, as well as single payer or so-called “Medicare-for-All” proposals, which could have far-reaching implications for the healthcare industry if enacted.</w:t>
      </w:r>
    </w:p>
    <w:p>
      <w:pPr>
        <w:spacing w:after="0" w:line="165"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We are unable to predict how the full impact of healthcare reform initiatives events will ultimately be resolved and what the potential impact may be on our business and on our relationships with current and future clients, insurance carriers, and healthcare providers.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Licensing Requirements</w:t>
      </w:r>
    </w:p>
    <w:p>
      <w:pPr>
        <w:spacing w:after="0" w:line="22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Many states have licensure or registration requirements for entities providing third-party administrator, or TPA, or pharmacy benefit management, or PBM, services. Given the nature and scope of the solutions and services that we provide, we are required to maintain TPA and PBM licenses and registrations in certain jurisdictions and to ensure that such licenses and registrations are in good standing on an annual basis. These licenses require us to comply with the rules and regulations of the governmental bodies that issued such licenses. Our failure to comply with such rules and regulations could result in administrative penalties, the suspension of a license, or the loss of a license, all of which could negatively impact our business.</w:t>
      </w:r>
    </w:p>
    <w:p>
      <w:pPr>
        <w:spacing w:after="0" w:line="195"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 that the nature of our business requires that we be licensed under such state laws, we may need to restructure our business to comply with any related requirements.</w:t>
      </w:r>
    </w:p>
    <w:p>
      <w:pPr>
        <w:spacing w:after="0" w:line="178"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b w:val="1"/>
          <w:bCs w:val="1"/>
          <w:i w:val="1"/>
          <w:iCs w:val="1"/>
          <w:color w:val="auto"/>
        </w:rPr>
        <w:t xml:space="preserve">Fraud and Abuse Laws. </w:t>
      </w:r>
      <w:r>
        <w:rPr>
          <w:rFonts w:ascii="Arial" w:cs="Arial" w:eastAsia="Arial" w:hAnsi="Arial"/>
          <w:sz w:val="16"/>
          <w:szCs w:val="16"/>
          <w:color w:val="auto"/>
        </w:rPr>
        <w:t>Many of our clients, insurance carriers, and network healthcare providers are impacted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and indirectly by certain fraud and abuse laws, including the federal anti-kickback and false claims laws. Because the solutions we provide are not reimbursed by government healthcare payors, such fraud and abuse laws generally do not directly apply to our business. However, many states have similar laws and regulations that may differ from each other and federal law in significant ways, thus complicating compliance efforts. For example, certain states have anti-kickback and false claims laws that may be broader in scope than analogous federal laws and may apply regardless of payor.</w:t>
      </w:r>
    </w:p>
    <w:p>
      <w:pPr>
        <w:spacing w:after="0" w:line="164"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b w:val="1"/>
          <w:bCs w:val="1"/>
          <w:i w:val="1"/>
          <w:iCs w:val="1"/>
          <w:color w:val="auto"/>
        </w:rPr>
        <w:t xml:space="preserve">ERISA. </w:t>
      </w:r>
      <w:r>
        <w:rPr>
          <w:rFonts w:ascii="Arial" w:cs="Arial" w:eastAsia="Arial" w:hAnsi="Arial"/>
          <w:sz w:val="16"/>
          <w:szCs w:val="16"/>
          <w:color w:val="auto"/>
        </w:rPr>
        <w:t>The Employee Retirement Income Security Act of 1974, or ERISA, regulates certain aspects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pension and health benefits plans, including self-funded corporate health plans, sponsored by our clients, with which we have agreements to provide TPA services. We believe the conduct of our business vis-a-vis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84"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b w:val="1"/>
          <w:bCs w:val="1"/>
          <w:i w:val="1"/>
          <w:iCs w:val="1"/>
          <w:color w:val="auto"/>
        </w:rPr>
        <w:t xml:space="preserve">Prompt Pay Laws. </w:t>
      </w:r>
      <w:r>
        <w:rPr>
          <w:rFonts w:ascii="Arial" w:cs="Arial" w:eastAsia="Arial" w:hAnsi="Arial"/>
          <w:sz w:val="16"/>
          <w:szCs w:val="16"/>
          <w:color w:val="auto"/>
        </w:rPr>
        <w:t>Certain states have laws regulating the amount of time that may elapse from when a third-party payor receives a claim for services rendered to when those services are paid. Many of these state laws do not apply to our business as these laws are preempted by ERISA or otherwise exempt entities like us that provide TPA-only services.</w:t>
      </w:r>
    </w:p>
    <w:p>
      <w:pPr>
        <w:spacing w:after="0" w:line="149"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Network Adequacy and Access. </w:t>
      </w:r>
      <w:r>
        <w:rPr>
          <w:rFonts w:ascii="Arial" w:cs="Arial" w:eastAsia="Arial" w:hAnsi="Arial"/>
          <w:sz w:val="18"/>
          <w:szCs w:val="18"/>
          <w:color w:val="auto"/>
        </w:rPr>
        <w:t>Certain states and government programs have laws regulating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networks in order to ensure adequacy and access for beneficiaries and providers. These laws may affect us and our payor clients in network design and management. If we do not comply, we could face enforcement action or other penalties.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Requirements Regarding the Privacy and Security of Personal Information</w:t>
      </w:r>
    </w:p>
    <w:p>
      <w:pPr>
        <w:spacing w:after="0" w:line="229"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b w:val="1"/>
          <w:bCs w:val="1"/>
          <w:i w:val="1"/>
          <w:iCs w:val="1"/>
          <w:color w:val="auto"/>
        </w:rPr>
        <w:t xml:space="preserve">HIPAA Privacy and Security Requirements. </w:t>
      </w:r>
      <w:r>
        <w:rPr>
          <w:rFonts w:ascii="Arial" w:cs="Arial" w:eastAsia="Arial" w:hAnsi="Arial"/>
          <w:sz w:val="17"/>
          <w:szCs w:val="17"/>
          <w:color w:val="auto"/>
        </w:rPr>
        <w:t>There are numerous federal and state laws and regulations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privacy and security of health information. In particular, regulations promulgated pursuant to the Health Insurance Portability and Accountability Act of 1996, as amended by the Health Information Technology for Economic and Clinical Health Act, or collectively referred to as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w:t>
      </w:r>
    </w:p>
    <w:p>
      <w:pPr>
        <w:spacing w:after="0" w:line="177"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solutions and for other limited purposes, but other uses and disclosures, such as marketing communications, require written authorization from the patient or must meet an exception specified under the privacy regulations.</w:t>
      </w:r>
    </w:p>
    <w:p>
      <w:pPr>
        <w:spacing w:after="0" w:line="192" w:lineRule="exact"/>
        <w:rPr>
          <w:sz w:val="20"/>
          <w:szCs w:val="20"/>
          <w:color w:val="auto"/>
        </w:rPr>
      </w:pPr>
    </w:p>
    <w:p>
      <w:pPr>
        <w:ind w:left="40" w:right="139" w:firstLine="648"/>
        <w:spacing w:after="0" w:line="288" w:lineRule="auto"/>
        <w:rPr>
          <w:sz w:val="20"/>
          <w:szCs w:val="20"/>
          <w:color w:val="auto"/>
        </w:rPr>
      </w:pPr>
      <w:r>
        <w:rPr>
          <w:rFonts w:ascii="Arial" w:cs="Arial" w:eastAsia="Arial" w:hAnsi="Arial"/>
          <w:sz w:val="16"/>
          <w:szCs w:val="16"/>
          <w:b w:val="1"/>
          <w:bCs w:val="1"/>
          <w:i w:val="1"/>
          <w:iCs w:val="1"/>
          <w:color w:val="auto"/>
        </w:rPr>
        <w:t xml:space="preserve">Other Privacy and Security Requirements. </w:t>
      </w:r>
      <w:r>
        <w:rPr>
          <w:rFonts w:ascii="Arial" w:cs="Arial" w:eastAsia="Arial" w:hAnsi="Arial"/>
          <w:sz w:val="16"/>
          <w:szCs w:val="16"/>
          <w:color w:val="auto"/>
        </w:rPr>
        <w:t>In addition to HIPAA, numerous other federal and state laws govern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State laws are contributing to increased enforcement activity and may also be subject to interpretation by various courts and other governmental authorities. Further, California recently enacted the California Consumer Privacy Act, or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w:t>
      </w:r>
    </w:p>
    <w:p>
      <w:pPr>
        <w:spacing w:after="0" w:line="168" w:lineRule="exact"/>
        <w:rPr>
          <w:sz w:val="20"/>
          <w:szCs w:val="20"/>
          <w:color w:val="auto"/>
        </w:rPr>
      </w:pPr>
    </w:p>
    <w:p>
      <w:pPr>
        <w:ind w:left="40" w:right="179" w:firstLine="648"/>
        <w:spacing w:after="0" w:line="270" w:lineRule="auto"/>
        <w:rPr>
          <w:sz w:val="20"/>
          <w:szCs w:val="20"/>
          <w:color w:val="auto"/>
        </w:rPr>
      </w:pPr>
      <w:r>
        <w:rPr>
          <w:rFonts w:ascii="Arial" w:cs="Arial" w:eastAsia="Arial" w:hAnsi="Arial"/>
          <w:sz w:val="17"/>
          <w:szCs w:val="17"/>
          <w:b w:val="1"/>
          <w:bCs w:val="1"/>
          <w:i w:val="1"/>
          <w:iCs w:val="1"/>
          <w:color w:val="auto"/>
        </w:rPr>
        <w:t xml:space="preserve">Data Protection and Breaches. </w:t>
      </w:r>
      <w:r>
        <w:rPr>
          <w:rFonts w:ascii="Arial" w:cs="Arial" w:eastAsia="Arial" w:hAnsi="Arial"/>
          <w:sz w:val="17"/>
          <w:szCs w:val="17"/>
          <w:color w:val="auto"/>
        </w:rPr>
        <w:t>Laws in all 50 states require businesses to provide notice to clients whose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personally identifiable information has been disclosed as a result of a data breach. Most states require holders of personal information to maintain safeguards and take certain actions in response to a data breach, such as providing prompt notification of the breach to affected individuals or the state’s attorney general.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 As a Business Associate under HIPAA, we are required to report breaches of unsecured protected health information to Covered Entities within 60 days of discovery of the breach or such shorter period as set forth in the applicable Business Associate Agreement .</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b w:val="1"/>
          <w:bCs w:val="1"/>
          <w:i w:val="1"/>
          <w:iCs w:val="1"/>
          <w:color w:val="auto"/>
        </w:rPr>
        <w:t xml:space="preserve">HIPAA Transaction and Identifier Standards. </w:t>
      </w:r>
      <w:r>
        <w:rPr>
          <w:rFonts w:ascii="Arial" w:cs="Arial" w:eastAsia="Arial" w:hAnsi="Arial"/>
          <w:sz w:val="16"/>
          <w:szCs w:val="16"/>
          <w:color w:val="auto"/>
        </w:rPr>
        <w:t>HIPAA and its implementing regulations mandate format and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content standards and provider identifier standards (known as the National Provider Identifier) that must be used in certain electronic transactions, such as claims, payment advice and eligibility inquiries. The U.S. Department of Health and Human Services, or HHS, now requires the use of updated standard code sets for diagnoses and procedures known as the ICD-10 code sets. Enforcement of compliance with these standards falls under HHS and is carried out by the Centers for Medicare</w:t>
      </w:r>
    </w:p>
    <w:p>
      <w:pPr>
        <w:spacing w:after="0" w:line="2" w:lineRule="exact"/>
        <w:rPr>
          <w:sz w:val="20"/>
          <w:szCs w:val="20"/>
          <w:color w:val="auto"/>
        </w:rPr>
      </w:pPr>
    </w:p>
    <w:p>
      <w:pPr>
        <w:ind w:left="40" w:right="159" w:firstLine="4"/>
        <w:spacing w:after="0" w:line="260"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Medicaid Services, or CMS. In the event new requirements are imposed, we will be required to modify our systems and processes to accommodate these changes.</w:t>
      </w:r>
    </w:p>
    <w:p>
      <w:pPr>
        <w:spacing w:after="0" w:line="185"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b w:val="1"/>
          <w:bCs w:val="1"/>
          <w:i w:val="1"/>
          <w:iCs w:val="1"/>
          <w:color w:val="auto"/>
        </w:rPr>
        <w:t xml:space="preserve">Consumer Protection Laws. </w:t>
      </w:r>
      <w:r>
        <w:rPr>
          <w:rFonts w:ascii="Arial" w:cs="Arial" w:eastAsia="Arial" w:hAnsi="Arial"/>
          <w:sz w:val="16"/>
          <w:szCs w:val="16"/>
          <w:color w:val="auto"/>
        </w:rPr>
        <w:t>Federal and state consumer protection laws are being applied increasingly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6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Restrictions on Communication. </w:t>
      </w:r>
      <w:r>
        <w:rPr>
          <w:rFonts w:ascii="Arial" w:cs="Arial" w:eastAsia="Arial" w:hAnsi="Arial"/>
          <w:sz w:val="18"/>
          <w:szCs w:val="18"/>
          <w:color w:val="auto"/>
        </w:rPr>
        <w:t>Communications with our members increasingly may be subject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Given that the majority of our clients contract with us for a January 1</w:t>
      </w:r>
      <w:r>
        <w:rPr>
          <w:rFonts w:ascii="Arial" w:cs="Arial" w:eastAsia="Arial" w:hAnsi="Arial"/>
          <w:sz w:val="8"/>
          <w:szCs w:val="8"/>
          <w:color w:val="auto"/>
        </w:rPr>
        <w:t>st</w:t>
      </w:r>
      <w:r>
        <w:rPr>
          <w:rFonts w:ascii="Arial" w:cs="Arial" w:eastAsia="Arial" w:hAnsi="Arial"/>
          <w:sz w:val="18"/>
          <w:szCs w:val="18"/>
          <w:color w:val="auto"/>
        </w:rPr>
        <w:t xml:space="preserve"> benefits plan start date, the first quarter has historically been the strongest in terms of sequential quarterly growth. We have in the past and expect in the future to experience seasonal fluctuations in our revenue as more members choose to start their fertility journey while also seeking to minimize their out of pocket costs as the calendar year progresses.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Our working capital is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8"/>
          <w:szCs w:val="8"/>
          <w:color w:val="auto"/>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ind w:left="40" w:right="379" w:firstLine="648"/>
        <w:spacing w:after="0" w:line="308" w:lineRule="auto"/>
        <w:rPr>
          <w:sz w:val="20"/>
          <w:szCs w:val="20"/>
          <w:color w:val="auto"/>
        </w:rPr>
      </w:pPr>
      <w:r>
        <w:rPr>
          <w:rFonts w:ascii="Arial" w:cs="Arial" w:eastAsia="Arial" w:hAnsi="Arial"/>
          <w:sz w:val="17"/>
          <w:szCs w:val="17"/>
          <w:color w:val="auto"/>
        </w:rPr>
        <w:t>As of December 31, 2019, we had 167 full-time employees. None of our employees are represented by a labor union or covered by collective bargaining agreements, and we have not experienced any work stoppages.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We were incorporated in Delaware in 2008 under the name Auxogen Bioscience, Inc. In 2010, we changed our name to Auxogyn, Inc., and in 2015 we changed our name to Progyny, Inc. Our principal executive offices are located at 1359 Broadway, New York, New York 10018, and our telephone number is (212) 888-3124. Our website address is www.progyny.com.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92" w:lineRule="exact"/>
        <w:rPr>
          <w:sz w:val="20"/>
          <w:szCs w:val="20"/>
          <w:color w:val="auto"/>
        </w:rPr>
      </w:pPr>
    </w:p>
    <w:p>
      <w:pPr>
        <w:ind w:left="40" w:right="499" w:firstLine="648"/>
        <w:spacing w:after="0" w:line="277" w:lineRule="auto"/>
        <w:rPr>
          <w:sz w:val="20"/>
          <w:szCs w:val="20"/>
          <w:color w:val="auto"/>
        </w:rPr>
      </w:pPr>
      <w:r>
        <w:rPr>
          <w:rFonts w:ascii="Arial" w:cs="Arial" w:eastAsia="Arial" w:hAnsi="Arial"/>
          <w:sz w:val="18"/>
          <w:szCs w:val="18"/>
          <w:color w:val="auto"/>
        </w:rPr>
        <w:t>We completed our initial public offering, or our IPO, in October 2019, and our common stock is listed on the Nasdaq Global Select Market under the symbol “PGNY.”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40" w:right="159" w:firstLine="648"/>
        <w:spacing w:after="0" w:line="272" w:lineRule="auto"/>
        <w:rPr>
          <w:sz w:val="20"/>
          <w:szCs w:val="20"/>
          <w:color w:val="auto"/>
        </w:rPr>
      </w:pPr>
      <w:r>
        <w:rPr>
          <w:rFonts w:ascii="Arial" w:cs="Arial" w:eastAsia="Arial" w:hAnsi="Arial"/>
          <w:sz w:val="17"/>
          <w:szCs w:val="17"/>
          <w:color w:val="auto"/>
        </w:rPr>
        <w:t>We file electronically with the SEC our annual reports on Form 10-K, quarterly reports on Form 10-Q, current reports on Form 8-K (including amendments to those reports), proxy statements, and other information. Our SEC filings are available to the public over the Internet at the SEC’s website at http://www.sec.gov. We make available on our website at investors.progyny.com, under “Financials—SEC Filings,” free of charge, copies of these reports as soon as reasonably practicable after filing or furnishing these reports with the SEC. The information contained on the websites referenced in this Annual Report on Form 10-K is not incorporated by reference into this filing. Further, our references to website URLs are intended to be inactive textual references only.</w:t>
      </w:r>
    </w:p>
    <w:p>
      <w:pPr>
        <w:spacing w:after="0" w:line="38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all of the information in this Annual Report on Form 10-K, including the sections titled “Cautionary Note Regarding Forward-Looking Statements,” and Part II, Item 7.“Management’s Discussion and Analysis of Financial Condition and Results of Operation” and our consolidated financial statements and the accompanying notes included elsewhere in this Annual Report on Form 10-K. The risks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and for the years ended December 31, 2019 and 2018,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4"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For example, 6% of our existing 2019 clients increased their Smart Cycle benefit for their 2020 benefits plan year. In addition, our fertility benefits solution clients can purchase our add-on Progyny Rx solution. We went live with Progyny Rx in 2018 and 70% of our clients have now launched this solution, including approximately 75% of the clients we signed in 2019.</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1020" w:right="339" w:hanging="32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170" w:lineRule="exact"/>
        <w:rPr>
          <w:rFonts w:ascii="Arial" w:cs="Arial" w:eastAsia="Arial" w:hAnsi="Arial"/>
          <w:sz w:val="18"/>
          <w:szCs w:val="18"/>
          <w:color w:val="auto"/>
        </w:rPr>
      </w:pPr>
    </w:p>
    <w:p>
      <w:pPr>
        <w:ind w:left="1020" w:right="619" w:hanging="32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offer complementary solutions and services that will enhance our comprehensive fertility offering;</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1020" w:right="979" w:hanging="32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our clients, resulting in a change to their benefits program or a shift to one of our competitors.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6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currently serve over 130 self-insured employers in the United States across more than 25 industries. In 2019 and 2018, each of our largest three clients represented more than 10% of our total revenue. For the years ended December 31, 2019 and 2018, one of our clients accounted for 16% and 24% of our total revenue, respectively. In addition, another client accounted for 15% of our revenue for year ended December 31, 2019. Finally, a third client accounted for 10% and 14% of our total revenue for the years ended December 31, 2019 and 2018, respectively. Engagement with these clients is generally covered through contracts that are multi-year in duration. One or more of these clients may terminate early or decline to renew their existing contracts with us upon expiration 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the health insurance market could harm our business, financial condition and results of operations.</w:t>
      </w:r>
    </w:p>
    <w:p>
      <w:pPr>
        <w:spacing w:after="0" w:line="24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market for private health insurance in the United States is evolving and, as our solutions are integrated with health insurance plans offered by insurance carriers for our clients, our future financial performance will depend in part 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such oral arguments are to be held and when a decision is expected to be made.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could contribute to a reduction in the use of our solutions include: reductions in workforce by existing clients; general economic downturn that results in business failures and high unemployment rates; outbreaks of contagious diseases;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8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1020" w:right="519" w:hanging="32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1020" w:right="539" w:hanging="32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our clients and members with client support that meets their needs, including through dedicated PCAs;</w:t>
      </w:r>
    </w:p>
    <w:p>
      <w:pPr>
        <w:spacing w:after="0" w:line="170"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1020" w:hanging="328"/>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84" w:lineRule="exact"/>
        <w:rPr>
          <w:rFonts w:ascii="Arial" w:cs="Arial" w:eastAsia="Arial" w:hAnsi="Arial"/>
          <w:sz w:val="18"/>
          <w:szCs w:val="18"/>
          <w:color w:val="auto"/>
        </w:rPr>
      </w:pPr>
    </w:p>
    <w:p>
      <w:pPr>
        <w:ind w:left="1020" w:right="619" w:hanging="328"/>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1020" w:right="459" w:hanging="328"/>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9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46"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Unfavorable changes in our industry or in the United States economy could have a negative effect on ours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or material defaults by members on their cost share.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8"/>
          <w:szCs w:val="8"/>
          <w:color w:val="auto"/>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new personnel or fail to retain and motivate our current personnel, our business and future growth prospects could be harmed.</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7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platforms. If we are unsuccessful in establishing or maintaining our relationships with third parties, our ability to compete in the marketplace or to grow our revenue could be impaired and our results of operations may suffer.</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03"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2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requirements.</w:t>
      </w:r>
    </w:p>
    <w:p>
      <w:pPr>
        <w:spacing w:after="0" w:line="103"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significant administrative, civil or criminal penalties. Such a determination also could require us to change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01" w:lineRule="exact"/>
        <w:rPr>
          <w:sz w:val="20"/>
          <w:szCs w:val="20"/>
          <w:color w:val="auto"/>
        </w:rPr>
      </w:pPr>
    </w:p>
    <w:p>
      <w:pPr>
        <w:jc w:val="both"/>
        <w:ind w:left="1020" w:right="59" w:firstLine="9"/>
        <w:spacing w:after="0" w:line="286" w:lineRule="auto"/>
        <w:rPr>
          <w:sz w:val="20"/>
          <w:szCs w:val="20"/>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 acting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third-party administrator, or TPA, and 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90"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82"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0" w:lineRule="exact"/>
        <w:rPr>
          <w:sz w:val="20"/>
          <w:szCs w:val="20"/>
          <w:color w:val="auto"/>
        </w:rPr>
      </w:pPr>
    </w:p>
    <w:p>
      <w:pPr>
        <w:jc w:val="both"/>
        <w:ind w:left="1020" w:right="59" w:firstLine="130"/>
        <w:spacing w:after="0" w:line="293" w:lineRule="auto"/>
        <w:rPr>
          <w:sz w:val="20"/>
          <w:szCs w:val="20"/>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04"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91" w:lineRule="exact"/>
        <w:rPr>
          <w:sz w:val="20"/>
          <w:szCs w:val="20"/>
          <w:color w:val="auto"/>
        </w:rPr>
      </w:pPr>
    </w:p>
    <w:p>
      <w:pPr>
        <w:jc w:val="both"/>
        <w:ind w:left="1020" w:right="59" w:firstLine="103"/>
        <w:spacing w:after="0" w:line="268" w:lineRule="auto"/>
        <w:rPr>
          <w:sz w:val="20"/>
          <w:szCs w:val="20"/>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85" w:lineRule="exact"/>
        <w:rPr>
          <w:sz w:val="20"/>
          <w:szCs w:val="20"/>
          <w:color w:val="auto"/>
        </w:rPr>
      </w:pPr>
    </w:p>
    <w:p>
      <w:pPr>
        <w:jc w:val="both"/>
        <w:ind w:left="1020" w:right="59"/>
        <w:spacing w:after="0" w:line="296"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86" w:lineRule="auto"/>
        <w:rPr>
          <w:sz w:val="20"/>
          <w:szCs w:val="20"/>
          <w:color w:val="auto"/>
        </w:rPr>
      </w:pPr>
      <w:r>
        <w:rPr>
          <w:rFonts w:ascii="Arial" w:cs="Arial" w:eastAsia="Arial" w:hAnsi="Arial"/>
          <w:sz w:val="16"/>
          <w:szCs w:val="16"/>
          <w:color w:val="auto"/>
        </w:rPr>
        <w:t>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6" w:lineRule="exact"/>
        <w:rPr>
          <w:sz w:val="20"/>
          <w:szCs w:val="20"/>
          <w:color w:val="auto"/>
        </w:rPr>
      </w:pPr>
    </w:p>
    <w:p>
      <w:pPr>
        <w:jc w:val="both"/>
        <w:ind w:left="1020" w:right="59" w:firstLine="63"/>
        <w:spacing w:after="0" w:line="269" w:lineRule="auto"/>
        <w:rPr>
          <w:sz w:val="20"/>
          <w:szCs w:val="20"/>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1020" w:right="59"/>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77" w:lineRule="auto"/>
        <w:rPr>
          <w:sz w:val="20"/>
          <w:szCs w:val="20"/>
          <w:color w:val="auto"/>
        </w:rPr>
      </w:pPr>
      <w:r>
        <w:rPr>
          <w:rFonts w:ascii="Arial" w:cs="Arial" w:eastAsia="Arial" w:hAnsi="Arial"/>
          <w:sz w:val="18"/>
          <w:szCs w:val="18"/>
          <w:color w:val="auto"/>
        </w:rPr>
        <w:t>software, databases or components thereof, power outages, hardware failures, telecommunication failures, and catastrophic events.</w:t>
      </w:r>
    </w:p>
    <w:p>
      <w:pPr>
        <w:spacing w:after="0" w:line="170"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10" w:lineRule="exact"/>
        <w:rPr>
          <w:sz w:val="20"/>
          <w:szCs w:val="20"/>
          <w:color w:val="auto"/>
        </w:rPr>
      </w:pPr>
    </w:p>
    <w:p>
      <w:pPr>
        <w:jc w:val="both"/>
        <w:ind w:left="1020" w:right="59" w:firstLine="22"/>
        <w:spacing w:after="0" w:line="287" w:lineRule="auto"/>
        <w:rPr>
          <w:sz w:val="20"/>
          <w:szCs w:val="20"/>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2"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1020" w:right="59" w:firstLine="157"/>
        <w:spacing w:after="0" w:line="291" w:lineRule="auto"/>
        <w:rPr>
          <w:sz w:val="20"/>
          <w:szCs w:val="20"/>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For example, certain states have anti-kickback and false claims laws that may be broader in scope than analogous federal laws and may apply regardless of payor.</w:t>
      </w:r>
    </w:p>
    <w:p>
      <w:pPr>
        <w:spacing w:after="0" w:line="166" w:lineRule="exact"/>
        <w:rPr>
          <w:sz w:val="20"/>
          <w:szCs w:val="20"/>
          <w:color w:val="auto"/>
        </w:rPr>
      </w:pPr>
    </w:p>
    <w:p>
      <w:pPr>
        <w:jc w:val="both"/>
        <w:ind w:left="1020" w:right="59"/>
        <w:spacing w:after="0" w:line="296" w:lineRule="auto"/>
        <w:rPr>
          <w:sz w:val="20"/>
          <w:szCs w:val="20"/>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77" w:lineRule="exact"/>
        <w:rPr>
          <w:sz w:val="20"/>
          <w:szCs w:val="20"/>
          <w:color w:val="auto"/>
        </w:rPr>
      </w:pPr>
    </w:p>
    <w:p>
      <w:pPr>
        <w:jc w:val="both"/>
        <w:ind w:left="1020" w:right="59" w:firstLine="103"/>
        <w:spacing w:after="0" w:line="284" w:lineRule="auto"/>
        <w:rPr>
          <w:sz w:val="20"/>
          <w:szCs w:val="20"/>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w:t>
      </w:r>
      <w:r>
        <w:rPr>
          <w:rFonts w:ascii="Arial" w:cs="Arial" w:eastAsia="Arial" w:hAnsi="Arial"/>
          <w:sz w:val="16"/>
          <w:szCs w:val="16"/>
          <w:b w:val="1"/>
          <w:bCs w:val="1"/>
          <w:i w:val="1"/>
          <w:iCs w:val="1"/>
          <w:color w:val="auto"/>
        </w:rPr>
        <w:t xml:space="preserve"> aspects </w:t>
      </w:r>
      <w:r>
        <w:rPr>
          <w:rFonts w:ascii="Arial" w:cs="Arial" w:eastAsia="Arial" w:hAnsi="Arial"/>
          <w:sz w:val="16"/>
          <w:szCs w:val="16"/>
          <w:color w:val="auto"/>
        </w:rPr>
        <w:t>of employee pension and health benefits plans, including self-funded corporate health plans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80" w:lineRule="exact"/>
        <w:rPr>
          <w:sz w:val="20"/>
          <w:szCs w:val="20"/>
          <w:color w:val="auto"/>
        </w:rPr>
      </w:pPr>
    </w:p>
    <w:p>
      <w:pPr>
        <w:jc w:val="both"/>
        <w:ind w:left="1020" w:right="59" w:firstLine="9"/>
        <w:spacing w:after="0" w:line="287" w:lineRule="auto"/>
        <w:rPr>
          <w:sz w:val="20"/>
          <w:szCs w:val="20"/>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8" w:lineRule="exact"/>
        <w:rPr>
          <w:sz w:val="20"/>
          <w:szCs w:val="20"/>
          <w:color w:val="auto"/>
        </w:rPr>
      </w:pPr>
    </w:p>
    <w:p>
      <w:pPr>
        <w:jc w:val="both"/>
        <w:ind w:left="1020" w:right="59" w:firstLine="90"/>
        <w:spacing w:after="0" w:line="287" w:lineRule="auto"/>
        <w:rPr>
          <w:sz w:val="20"/>
          <w:szCs w:val="20"/>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71" w:lineRule="auto"/>
        <w:rPr>
          <w:sz w:val="20"/>
          <w:szCs w:val="20"/>
          <w:color w:val="auto"/>
        </w:rPr>
      </w:pPr>
      <w:r>
        <w:rPr>
          <w:rFonts w:ascii="Arial" w:cs="Arial" w:eastAsia="Arial" w:hAnsi="Arial"/>
          <w:sz w:val="17"/>
          <w:szCs w:val="17"/>
          <w:color w:val="auto"/>
        </w:rPr>
        <w:t>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78" w:lineRule="exact"/>
        <w:rPr>
          <w:sz w:val="20"/>
          <w:szCs w:val="20"/>
          <w:color w:val="auto"/>
        </w:rPr>
      </w:pPr>
    </w:p>
    <w:p>
      <w:pPr>
        <w:jc w:val="both"/>
        <w:ind w:left="1020" w:right="59" w:firstLine="9"/>
        <w:spacing w:after="0" w:line="269" w:lineRule="auto"/>
        <w:rPr>
          <w:sz w:val="20"/>
          <w:szCs w:val="20"/>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2" w:lineRule="exact"/>
        <w:rPr>
          <w:sz w:val="20"/>
          <w:szCs w:val="20"/>
          <w:color w:val="auto"/>
        </w:rPr>
      </w:pPr>
    </w:p>
    <w:p>
      <w:pPr>
        <w:jc w:val="both"/>
        <w:ind w:left="1020" w:right="59" w:firstLine="117"/>
        <w:spacing w:after="0" w:line="272" w:lineRule="auto"/>
        <w:rPr>
          <w:sz w:val="20"/>
          <w:szCs w:val="20"/>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a decision is expected to be made.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Government regulation, industry standards and other requirements create risks and challenges with respect to our compliance efforts and our business strategies.</w:t>
      </w:r>
    </w:p>
    <w:p>
      <w:pPr>
        <w:spacing w:after="0" w:line="170"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The healthcare industry is highly regulated and subject to frequently changing laws, regulations, industry standards and other requirements. Many healthcare laws and regulations are complex, and their application to specific</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 PBMs including pricing and transparency which could 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7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Further, governmental and highly regulated entities may demand contract terms that differ from our standard arrangements. Such entities may have statutory, contractual, or other legal rights to terminate contracts with us or our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partners due to a default or for other reasons. Any such termination may adversely affect our reputation, business, financial condition and results of operations.</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as described in Part I, Item 3. “Legal Proceedings” of this Annual Report on Form 10-K. We are unable to predict the outcome of any of these legal proceedings. Such proceedings might result in substantial costs, regardless of the outcome, and may divert management’s attention and resources, which might seriously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7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December 2017 U.S. federal tax reform may subject us to potential adverse tax consequences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7" w:lineRule="exact"/>
        <w:rPr>
          <w:sz w:val="20"/>
          <w:szCs w:val="20"/>
          <w:color w:val="auto"/>
        </w:rPr>
      </w:pPr>
    </w:p>
    <w:p>
      <w:pPr>
        <w:jc w:val="center"/>
        <w:ind w:right="1259"/>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increase due to several factors, including, but not limited to:</w:t>
      </w:r>
    </w:p>
    <w:p>
      <w:pPr>
        <w:spacing w:after="0" w:line="225" w:lineRule="exact"/>
        <w:rPr>
          <w:sz w:val="20"/>
          <w:szCs w:val="20"/>
          <w:color w:val="auto"/>
        </w:rPr>
      </w:pPr>
    </w:p>
    <w:p>
      <w:pPr>
        <w:ind w:left="1020" w:right="279" w:hanging="32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tax laws, tax treaties, and regulations or the interpretation of them, including the Tax Act;</w:t>
      </w:r>
    </w:p>
    <w:p>
      <w:pPr>
        <w:spacing w:after="0" w:line="236" w:lineRule="exact"/>
        <w:rPr>
          <w:rFonts w:ascii="Arial" w:cs="Arial" w:eastAsia="Arial" w:hAnsi="Arial"/>
          <w:sz w:val="17"/>
          <w:szCs w:val="17"/>
          <w:color w:val="auto"/>
        </w:rPr>
      </w:pPr>
    </w:p>
    <w:p>
      <w:pPr>
        <w:ind w:left="1020" w:right="339" w:hanging="328"/>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income taxes which could adversely affect our results of operations.</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of December 31, 2019, we had federal and state net operating loss carryforwards of approximately $92 million and $71 million, respectively, due to prior period losses, some of which, if not utilized, will begin to expire in 2031 for federal and state purposes. Federal and California research and development tax credit carryforwards are approximately $729,000 and $830,000, respectively. The 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For example, 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used in preparing our consolidated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but not limited to:</w:t>
      </w:r>
    </w:p>
    <w:p>
      <w:pPr>
        <w:spacing w:after="0" w:line="170" w:lineRule="exact"/>
        <w:rPr>
          <w:sz w:val="20"/>
          <w:szCs w:val="20"/>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 as well as the anticipation of lock-up releases;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left="40" w:right="59" w:firstLine="648"/>
        <w:spacing w:after="0" w:line="342"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may also negatively impact the market price of our common stock. These and other factors may cause the market price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sales and marketing expenses;</w:t>
      </w:r>
    </w:p>
    <w:p>
      <w:pPr>
        <w:spacing w:after="0" w:line="236" w:lineRule="exact"/>
        <w:rPr>
          <w:rFonts w:ascii="Arial" w:cs="Arial" w:eastAsia="Arial" w:hAnsi="Arial"/>
          <w:sz w:val="17"/>
          <w:szCs w:val="17"/>
          <w:color w:val="auto"/>
        </w:rPr>
      </w:pPr>
    </w:p>
    <w:p>
      <w:pPr>
        <w:ind w:left="1020" w:right="5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clients; and</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87"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In connection with our preparation of our annual financial statements for the year ended December 31, 2018, we and our independent registered public accounting firm identified a material weakness in our internal control over financial reporting. Any failure to maintain effective internal control over financial reporting could harm us.</w:t>
      </w:r>
    </w:p>
    <w:p>
      <w:pPr>
        <w:spacing w:after="0" w:line="14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GAAP. In connection with our audit of the fiscal year 2018 consolidated financial statements, we and our independent registered public accounting firm identified one material weakness in our controls related to the lack of review and oversight over financial reporting. We determined that we had insufficient financial statement close processes and procedures relating to the classification and presentation of certain revenue and expenses. 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During 2019, we completed the remediation measures related to the material weakness and concluded that our internal control over financial reporting was effective as of December 31, 2019.</w:t>
      </w:r>
    </w:p>
    <w:p>
      <w:pPr>
        <w:spacing w:after="0" w:line="17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Completion of remediation does not provide assurance that our remediation or other controls will continue to operate properly. 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72"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are required, pursuant to Section 404 of the Sarbanes-Oxley Act, or Section 404, to furnish a report by management on, among other things, the effectiveness of our internal control over financial reporting for the fiscal year ending December 31, 2020, which is the year covered by the second annual report following the completion of our IPO.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All of our directors and officers and the holders of substantially all of our capital stock and securities convertible into our capital stock are subject to lock-up agreements that restrict their ability to transfer shares of our capital stock through the end of the day on April 21, 2020. These lock-up agreements limit the number of shares of capital stock that may be sold immediately following our IPO. Subject to certain limitations, substantially all of these shares will become eligible for sale upon expiration of the 180-day lock-up period. J.P. Morgan Securities LLC, Goldman Sachs &amp; Co. LLC and BofA Securities, Inc. may, in their sole discretion, permit our stockholders who are subject to these lock-up agreements to sell shares prior to the expiration of the lock-up agreements.</w:t>
      </w:r>
    </w:p>
    <w:p>
      <w:pPr>
        <w:spacing w:after="0" w:line="17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addition, as of December 31, 2019, there were an aggregate of 15,721,139 shares of our common stock subject to outstanding options, and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subject to the lock-up agreements described above and compliance with applicable securities laws.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2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our first fiscal year in which we have total annual gross revenue of at least $1.07 billion; (3) the date on which we have issued more than $1.0 billion in non-convertible debt securities during the prior three-year period; and (4) the last day of our first fiscal year in which the market value of our common stock that is held by non-affiliates exceeds $700.0 million as of the prior June 30th.</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make some activities more time- consuming and costly. We cannot predict or estimate the amount of additional costs we will incur as a public company or the specific timing of such costs.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1020" w:right="79" w:hanging="328"/>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1020" w:right="93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1020" w:right="479" w:hanging="328"/>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Arial" w:cs="Arial" w:eastAsia="Arial" w:hAnsi="Arial"/>
          <w:sz w:val="17"/>
          <w:szCs w:val="17"/>
          <w:color w:val="auto"/>
        </w:rPr>
      </w:pPr>
    </w:p>
    <w:p>
      <w:pPr>
        <w:ind w:left="1020" w:right="9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662/3% of our outstanding shares of voting stock;</w:t>
      </w:r>
    </w:p>
    <w:p>
      <w:pPr>
        <w:spacing w:after="0" w:line="170"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1020" w:right="239" w:hanging="328"/>
        <w:spacing w:after="0" w:line="308"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662/3% of our outstanding shares of voting stock to amend our bylaws and certain provisions of our certificate of incorporation.</w:t>
      </w:r>
    </w:p>
    <w:p>
      <w:pPr>
        <w:spacing w:after="0" w:line="14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1"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Our corporate headquarters is located at 1359 Broadway, New York, New York 10018, under a sublease that began in July 2019 and expires in May 2029. We use this space for administration, sales and marketing and client support.</w:t>
      </w:r>
    </w:p>
    <w:p>
      <w:pPr>
        <w:spacing w:after="0" w:line="120"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 Pursuant to a schedule set forth by the Arbitration Panel, on May 3, 2019, we filed a Motion to Dismiss the SAD. That Motion to Dismiss was fully briefed on June 14, 2019 and was decided on July 31, 2019. The Arbitration Panel dismissed two of the vendor’s four claims. We believe the vendor’s remaining claims are without merit and intend to vigorously defend against the claims in the arbitration. See “Risk Factors—Risks Related to Our Business and Industry—Any litigation against us could be costly and time-consuming to defend and could harm our business, financial condition and results of operations.”</w:t>
      </w:r>
    </w:p>
    <w:p>
      <w:pPr>
        <w:spacing w:after="0" w:line="168" w:lineRule="exact"/>
        <w:rPr>
          <w:sz w:val="20"/>
          <w:szCs w:val="20"/>
          <w:color w:val="auto"/>
        </w:rPr>
      </w:pPr>
    </w:p>
    <w:p>
      <w:pPr>
        <w:jc w:val="both"/>
        <w:ind w:left="40" w:right="99" w:firstLine="648"/>
        <w:spacing w:after="0" w:line="287" w:lineRule="auto"/>
        <w:rPr>
          <w:sz w:val="20"/>
          <w:szCs w:val="20"/>
          <w:color w:val="auto"/>
        </w:rPr>
      </w:pPr>
      <w:r>
        <w:rPr>
          <w:rFonts w:ascii="Arial" w:cs="Arial" w:eastAsia="Arial" w:hAnsi="Arial"/>
          <w:sz w:val="16"/>
          <w:szCs w:val="16"/>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w:t>
      </w:r>
    </w:p>
    <w:p>
      <w:pPr>
        <w:spacing w:after="0" w:line="2" w:lineRule="exact"/>
        <w:rPr>
          <w:sz w:val="20"/>
          <w:szCs w:val="20"/>
          <w:color w:val="auto"/>
        </w:rPr>
      </w:pPr>
    </w:p>
    <w:p>
      <w:pPr>
        <w:ind w:left="40" w:right="259"/>
        <w:spacing w:after="0" w:line="277" w:lineRule="auto"/>
        <w:rPr>
          <w:sz w:val="20"/>
          <w:szCs w:val="20"/>
          <w:color w:val="auto"/>
        </w:rPr>
      </w:pPr>
      <w:r>
        <w:rPr>
          <w:rFonts w:ascii="Arial" w:cs="Arial" w:eastAsia="Arial" w:hAnsi="Arial"/>
          <w:sz w:val="17"/>
          <w:szCs w:val="17"/>
          <w:color w:val="auto"/>
        </w:rPr>
        <w:t>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40" w:right="69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“PGNY” since October 25, 2019. Prior to that time, there was no public market for our stock.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As of February 27, 2020, there were approximately 151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intend to retain any future earnings and do not expect to pay cash dividends in the foreseeable future.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left="40" w:right="359" w:firstLine="648"/>
        <w:spacing w:after="0" w:line="311" w:lineRule="auto"/>
        <w:rPr>
          <w:sz w:val="20"/>
          <w:szCs w:val="20"/>
          <w:color w:val="auto"/>
        </w:rPr>
      </w:pPr>
      <w:r>
        <w:rPr>
          <w:rFonts w:ascii="Arial" w:cs="Arial" w:eastAsia="Arial" w:hAnsi="Arial"/>
          <w:sz w:val="16"/>
          <w:szCs w:val="16"/>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149"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graph set forth below compares cumulative total return on our common stock with the cumulative total return of the (i) S&amp;P Health Care (Sector) and (ii) the Nasdaq Composite Index resulting from an initial investment of $100 in each and, assuming the reinvestment of any dividends, based on closing prices. Measurement points are from October 25, 2019 (the date our common stock began trading on Nasdaq)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117475</wp:posOffset>
            </wp:positionV>
            <wp:extent cx="5554980" cy="3017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5498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From October 1, 2019 to the filing of our registration statement on Form S-8 on October 25, 2019, we (i) granted stock options to purchase an aggregate of 358,799 shares of our common stock at exercise prices ranging from $9.59 to $13 per share to a total of 19 employees under our 2017 Equity Incentive Plan and (ii) issued an aggregate of 1,243,698 shares of common stock upon the exercise of outstanding stock options under our 2017 Equity Incentive Plan, at exercise prices ranging from of $0.90 to $1.50 to a total of 16 employees, for an aggregate purchase price of $1.2 million and (iii) issued an aggregate of 115,946 shares of common stock upon the exercise of outstanding stock options under our 2008 Equity Incentive Plan, at exercise prices ranging from of $0.86 to $1.45 to a total of 6 employees, for an aggregate purchase price of $0.1 million. .</w:t>
      </w:r>
    </w:p>
    <w:p>
      <w:pPr>
        <w:spacing w:after="0" w:line="178"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The offers, sales, and issuances of the securities described above were deemed to be exempt from registration under the Securities Act in reliance on Section 4(a)(2) of the Securities Act or Regulation D promulgated thereunder or Rule 701 promulgated under the Securities Act as transactions by an issuer not involving a public offering or under benefit plans and contracts relating to compensation as provided under Rule 701.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or sophisticated person and had adequate access, through employment, business, or other relationships, to information about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$77.5 million, after deducting the underwriting discount of $5.9 million and offering expenses of $3.7 million. The net proceeds of $77.5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2019, $0.9 million of expenses incurred in connection with our IPO had not yet been paid.</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The selected consolidated statement of operations data for the years ended December 31, 2019, 2018 and 2017 and the selected consolidated balance sheet data as of December 31, 2019, 2018 and 2017 have been derived from our audited consolidated financial statements included elsewhere in this Annual Report on Form 10-K. You should read the consolidated financial data set forth below in conjunction with our consolidated financial statements and the accompanying notes and the information in Part II, Item 7. “Management’s Discussion and Analysis of Financial Condition and Results of Operations” and Part II, Item 8. “Financial Statements and Supplementary Data” of this Annual Report on Form 10-K. Our historical results are not necessarily indicative of the results to be expected for any other period in the future.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980" w:type="dxa"/>
            <w:vAlign w:val="bottom"/>
          </w:tcPr>
          <w:p>
            <w:pPr>
              <w:spacing w:after="0"/>
              <w:rPr>
                <w:sz w:val="24"/>
                <w:szCs w:val="24"/>
                <w:color w:val="auto"/>
              </w:rPr>
            </w:pPr>
          </w:p>
        </w:tc>
        <w:tc>
          <w:tcPr>
            <w:tcW w:w="3940" w:type="dxa"/>
            <w:vAlign w:val="bottom"/>
            <w:gridSpan w:val="11"/>
          </w:tcPr>
          <w:p>
            <w:pPr>
              <w:ind w:left="2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229,683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48,584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r>
              <w:rPr>
                <w:rFonts w:ascii="Arial" w:cs="Arial" w:eastAsia="Arial" w:hAnsi="Arial"/>
                <w:sz w:val="8"/>
                <w:szCs w:val="8"/>
                <w:color w:val="auto"/>
              </w:rPr>
              <w:t>(1)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184,178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41,184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8"/>
                <w:szCs w:val="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8"/>
                <w:szCs w:val="8"/>
                <w:color w:val="auto"/>
              </w:rPr>
              <w:t>(1)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14,147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18,405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(11,005)</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Convertible preferred stock warrant valuation adjustment</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(Loss) income from continuing operations, before tax</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(12,459)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from continuing operations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(12,456)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from discontinued operations, net of taxes</w:t>
            </w:r>
            <w:r>
              <w:rPr>
                <w:rFonts w:ascii="Arial" w:cs="Arial" w:eastAsia="Arial" w:hAnsi="Arial"/>
                <w:sz w:val="8"/>
                <w:szCs w:val="8"/>
                <w:color w:val="auto"/>
              </w:rPr>
              <w:t>(2)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and comprehensive (loss) income</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(12,452)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(13,468)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Net (loss) income per share attributable to common stockholders,</w:t>
            </w:r>
          </w:p>
        </w:tc>
        <w:tc>
          <w:tcPr>
            <w:tcW w:w="2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w:t>
            </w:r>
            <w:r>
              <w:rPr>
                <w:rFonts w:ascii="Arial" w:cs="Arial" w:eastAsia="Arial" w:hAnsi="Arial"/>
                <w:sz w:val="8"/>
                <w:szCs w:val="8"/>
                <w:color w:val="auto"/>
              </w:rPr>
              <w:t>(2)</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net (loss) income per share attributable to</w:t>
            </w:r>
          </w:p>
        </w:tc>
        <w:tc>
          <w:tcPr>
            <w:tcW w:w="38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gridSpan w:val="2"/>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4980" w:type="dxa"/>
            <w:vAlign w:val="bottom"/>
            <w:tcBorders>
              <w:top w:val="single" w:sz="8" w:color="CCEEFF"/>
            </w:tcBorders>
          </w:tcPr>
          <w:p>
            <w:pPr>
              <w:ind w:left="4380"/>
              <w:spacing w:after="0"/>
              <w:rPr>
                <w:sz w:val="20"/>
                <w:szCs w:val="20"/>
                <w:color w:val="auto"/>
              </w:rPr>
            </w:pPr>
            <w:r>
              <w:rPr>
                <w:rFonts w:ascii="Arial" w:cs="Arial" w:eastAsia="Arial" w:hAnsi="Arial"/>
                <w:sz w:val="18"/>
                <w:szCs w:val="18"/>
                <w:color w:val="auto"/>
              </w:rPr>
              <w:t>53</w:t>
            </w: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53" w:name="page54"/>
    <w:bookmarkEnd w:id="5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gridSpan w:val="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gridSpan w:val="2"/>
            <w:shd w:val="clear" w:color="auto" w:fill="0563C1"/>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62"/>
        </w:trPr>
        <w:tc>
          <w:tcPr>
            <w:tcW w:w="5040" w:type="dxa"/>
            <w:vAlign w:val="bottom"/>
            <w:gridSpan w:val="4"/>
          </w:tcPr>
          <w:p>
            <w:pPr>
              <w:spacing w:after="0" w:line="207" w:lineRule="exact"/>
              <w:rPr>
                <w:sz w:val="20"/>
                <w:szCs w:val="20"/>
                <w:color w:val="auto"/>
              </w:rPr>
            </w:pPr>
            <w:r>
              <w:rPr>
                <w:rFonts w:ascii="Arial" w:cs="Arial" w:eastAsia="Arial" w:hAnsi="Arial"/>
                <w:sz w:val="18"/>
                <w:szCs w:val="18"/>
                <w:color w:val="auto"/>
                <w:w w:val="94"/>
              </w:rPr>
              <w:t>Weighted</w:t>
            </w:r>
            <w:r>
              <w:rPr>
                <w:rFonts w:ascii="MS PGothic" w:cs="MS PGothic" w:eastAsia="MS PGothic" w:hAnsi="MS PGothic"/>
                <w:sz w:val="18"/>
                <w:szCs w:val="18"/>
                <w:color w:val="auto"/>
                <w:w w:val="94"/>
              </w:rPr>
              <w:t>‑</w:t>
            </w:r>
            <w:r>
              <w:rPr>
                <w:rFonts w:ascii="Arial" w:cs="Arial" w:eastAsia="Arial" w:hAnsi="Arial"/>
                <w:sz w:val="18"/>
                <w:szCs w:val="18"/>
                <w:color w:val="auto"/>
                <w:w w:val="94"/>
              </w:rPr>
              <w:t>average shares used in computing net (loss) income per</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040" w:type="dxa"/>
            <w:vAlign w:val="bottom"/>
            <w:gridSpan w:val="4"/>
          </w:tcPr>
          <w:p>
            <w:pPr>
              <w:spacing w:after="0"/>
              <w:rPr>
                <w:sz w:val="20"/>
                <w:szCs w:val="20"/>
                <w:color w:val="auto"/>
              </w:rPr>
            </w:pPr>
            <w:r>
              <w:rPr>
                <w:rFonts w:ascii="Arial" w:cs="Arial" w:eastAsia="Arial" w:hAnsi="Arial"/>
                <w:sz w:val="18"/>
                <w:szCs w:val="18"/>
                <w:color w:val="auto"/>
              </w:rPr>
              <w:t>share:</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0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Basic</w:t>
            </w:r>
            <w:r>
              <w:rPr>
                <w:rFonts w:ascii="Arial" w:cs="Arial" w:eastAsia="Arial" w:hAnsi="Arial"/>
                <w:sz w:val="8"/>
                <w:szCs w:val="8"/>
                <w:color w:val="auto"/>
              </w:rPr>
              <w:t>(3)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20,735,202</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5,539,739</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5,677,860</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gridSpan w:val="4"/>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8"/>
                <w:szCs w:val="8"/>
                <w:color w:val="auto"/>
              </w:rPr>
              <w:t>(3)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7"/>
              </w:rPr>
              <w:t>20,735,202</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5,539,739</w:t>
            </w:r>
          </w:p>
        </w:tc>
        <w:tc>
          <w:tcPr>
            <w:tcW w:w="16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5,677,860</w:t>
            </w:r>
          </w:p>
        </w:tc>
        <w:tc>
          <w:tcPr>
            <w:tcW w:w="60" w:type="dxa"/>
            <w:vAlign w:val="bottom"/>
          </w:tcPr>
          <w:p>
            <w:pPr>
              <w:spacing w:after="0"/>
              <w:rPr>
                <w:sz w:val="19"/>
                <w:szCs w:val="19"/>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r>
      <w:tr>
        <w:trPr>
          <w:trHeight w:val="318"/>
        </w:trPr>
        <w:tc>
          <w:tcPr>
            <w:tcW w:w="5040" w:type="dxa"/>
            <w:vAlign w:val="bottom"/>
            <w:gridSpan w:val="4"/>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0"/>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Selling and marketing</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4140" w:type="dxa"/>
            <w:vAlign w:val="bottom"/>
            <w:gridSpan w:val="3"/>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5,061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2,997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60" w:type="dxa"/>
            <w:vAlign w:val="bottom"/>
          </w:tcPr>
          <w:p>
            <w:pPr>
              <w:spacing w:after="0"/>
              <w:rPr>
                <w:sz w:val="18"/>
                <w:szCs w:val="18"/>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94" w:lineRule="exact"/>
        <w:rPr>
          <w:sz w:val="20"/>
          <w:szCs w:val="20"/>
          <w:color w:val="auto"/>
        </w:rPr>
      </w:pPr>
    </w:p>
    <w:p>
      <w:pPr>
        <w:ind w:left="360" w:right="59" w:hanging="316"/>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6 to our consolidated financial statements included elsewhere in this Annual Report on Form 10-K for further information about a certain divestiture.</w:t>
      </w:r>
    </w:p>
    <w:p>
      <w:pPr>
        <w:spacing w:after="0" w:line="170" w:lineRule="exact"/>
        <w:rPr>
          <w:rFonts w:ascii="Arial" w:cs="Arial" w:eastAsia="Arial" w:hAnsi="Arial"/>
          <w:sz w:val="18"/>
          <w:szCs w:val="18"/>
          <w:color w:val="auto"/>
        </w:rPr>
      </w:pPr>
    </w:p>
    <w:p>
      <w:pPr>
        <w:ind w:left="360" w:right="199" w:hanging="316"/>
        <w:spacing w:after="0" w:line="25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Annual Report on Form 10-K for an explanation of the calculations of our basic and diluted earnings per share attributable to common stockholders, pro forma earnings per share attributable to common stockholders and the weighted average number of shares used in the computation of the per share amounts.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80,382</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8"/>
                <w:szCs w:val="18"/>
                <w:color w:val="auto"/>
                <w:vertAlign w:val="superscript"/>
              </w:rPr>
              <w:t>(1)</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114,271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1" w:lineRule="exact"/>
        <w:rPr>
          <w:sz w:val="20"/>
          <w:szCs w:val="20"/>
          <w:color w:val="auto"/>
        </w:rPr>
      </w:pPr>
    </w:p>
    <w:p>
      <w:pPr>
        <w:ind w:left="360" w:hanging="316"/>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340" w:right="439" w:hanging="1376"/>
        <w:spacing w:after="0" w:line="282" w:lineRule="auto"/>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w:t>
      </w:r>
    </w:p>
    <w:p>
      <w:pPr>
        <w:spacing w:after="0" w:line="4" w:lineRule="exact"/>
        <w:rPr>
          <w:sz w:val="20"/>
          <w:szCs w:val="20"/>
          <w:color w:val="auto"/>
        </w:rPr>
      </w:pPr>
    </w:p>
    <w:p>
      <w:pPr>
        <w:jc w:val="both"/>
        <w:ind w:left="40" w:right="179"/>
        <w:spacing w:after="0" w:line="253" w:lineRule="auto"/>
        <w:rPr>
          <w:sz w:val="20"/>
          <w:szCs w:val="20"/>
          <w:color w:val="auto"/>
        </w:rPr>
      </w:pPr>
      <w:r>
        <w:rPr>
          <w:rFonts w:ascii="Arial" w:cs="Arial" w:eastAsia="Arial" w:hAnsi="Arial"/>
          <w:sz w:val="18"/>
          <w:szCs w:val="18"/>
          <w:i w:val="1"/>
          <w:iCs w:val="1"/>
          <w:color w:val="auto"/>
        </w:rPr>
        <w:t>1A. “Risk Factors” of this Annual Report on Form 10-K. A discussion of the year ended December 31, 2018 compared to the year ended December 31, 2017 has been reported previously in our final prospectus filed with the SEC on October 25, 2019 pursuant to Rule 424(b)(4) (File No. 333-233965), or the Prospectus, under the heading “Management’s Discussion and Analysis of Financial Condition and Results of Operations.”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439" w:firstLine="648"/>
        <w:spacing w:after="0" w:line="301"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57"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130. We currently provide coverage to approximately 2.1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most recent industry-leading Net Promoter Score, or NPS, of +72 for our fertility benefits solution and +80 for our integrated pharmacy benefits solution, Progyny Rx.</w:t>
      </w:r>
    </w:p>
    <w:p>
      <w:pPr>
        <w:spacing w:after="0" w:line="185"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b w:val="1"/>
          <w:bCs w:val="1"/>
          <w:i w:val="1"/>
          <w:iCs w:val="1"/>
          <w:color w:val="auto"/>
        </w:rPr>
        <w:t xml:space="preserve">Fertility Benefits Solution. </w:t>
      </w:r>
      <w:r>
        <w:rPr>
          <w:rFonts w:ascii="Arial" w:cs="Arial" w:eastAsia="Arial" w:hAnsi="Arial"/>
          <w:sz w:val="16"/>
          <w:szCs w:val="16"/>
          <w:color w:val="auto"/>
        </w:rPr>
        <w:t>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(e.g., in the case of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PCAs, can choose their preferred provider clinics within our network and utilize the specific Smart Cycle treatment bundles necessary for the treatment pathway they determine throughout their fertility journey.</w:t>
      </w:r>
    </w:p>
    <w:p>
      <w:pPr>
        <w:spacing w:after="0" w:line="172" w:lineRule="exact"/>
        <w:rPr>
          <w:sz w:val="20"/>
          <w:szCs w:val="20"/>
          <w:color w:val="auto"/>
        </w:rPr>
      </w:pPr>
    </w:p>
    <w:p>
      <w:pPr>
        <w:ind w:left="40" w:right="319" w:firstLine="648"/>
        <w:spacing w:after="0" w:line="296" w:lineRule="auto"/>
        <w:rPr>
          <w:sz w:val="20"/>
          <w:szCs w:val="20"/>
          <w:color w:val="auto"/>
        </w:rPr>
      </w:pPr>
      <w:r>
        <w:rPr>
          <w:rFonts w:ascii="Arial" w:cs="Arial" w:eastAsia="Arial" w:hAnsi="Arial"/>
          <w:sz w:val="16"/>
          <w:szCs w:val="16"/>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61" w:lineRule="exact"/>
        <w:rPr>
          <w:sz w:val="20"/>
          <w:szCs w:val="20"/>
          <w:color w:val="auto"/>
        </w:rPr>
      </w:pPr>
    </w:p>
    <w:p>
      <w:pPr>
        <w:ind w:left="40" w:right="2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Progyny Rx. </w:t>
      </w:r>
      <w:r>
        <w:rPr>
          <w:rFonts w:ascii="Arial" w:cs="Arial" w:eastAsia="Arial" w:hAnsi="Arial"/>
          <w:sz w:val="16"/>
          <w:szCs w:val="16"/>
          <w:color w:val="auto"/>
        </w:rPr>
        <w:t>We went live with our integrated pharmacy benefits solution in 2018. Progyny Rx can only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of the medications by our network of specialty pharmacies, as well as medication administration training, pharmacy support services and continuing PCA support.</w:t>
      </w:r>
    </w:p>
    <w:p>
      <w:pPr>
        <w:spacing w:after="0" w:line="170" w:lineRule="exact"/>
        <w:rPr>
          <w:sz w:val="20"/>
          <w:szCs w:val="20"/>
          <w:color w:val="auto"/>
        </w:rPr>
      </w:pPr>
    </w:p>
    <w:p>
      <w:pPr>
        <w:ind w:left="40" w:right="299" w:firstLine="648"/>
        <w:spacing w:after="0" w:line="286" w:lineRule="auto"/>
        <w:rPr>
          <w:sz w:val="20"/>
          <w:szCs w:val="20"/>
          <w:color w:val="auto"/>
        </w:rPr>
      </w:pPr>
      <w:r>
        <w:rPr>
          <w:rFonts w:ascii="Arial" w:cs="Arial" w:eastAsia="Arial" w:hAnsi="Arial"/>
          <w:sz w:val="17"/>
          <w:szCs w:val="17"/>
          <w:b w:val="1"/>
          <w:bCs w:val="1"/>
          <w:i w:val="1"/>
          <w:iCs w:val="1"/>
          <w:color w:val="auto"/>
        </w:rPr>
        <w:t xml:space="preserve">Our Clients. </w:t>
      </w:r>
      <w:r>
        <w:rPr>
          <w:rFonts w:ascii="Arial" w:cs="Arial" w:eastAsia="Arial" w:hAnsi="Arial"/>
          <w:sz w:val="17"/>
          <w:szCs w:val="17"/>
          <w:color w:val="auto"/>
        </w:rPr>
        <w:t>We currently serve over 130 self-insured employers in the United States across more than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industries. Our current clients, who are industry leaders across both high-growth and mature industries and who range in size from 1,000 to 250,000 employees, represent approximately 2.1 million covered lives.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ind w:left="1020" w:right="179" w:hanging="328"/>
        <w:spacing w:after="0" w:line="254"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ind w:left="1020" w:right="99" w:hanging="328"/>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Population-Based Component. </w:t>
      </w:r>
      <w:r>
        <w:rPr>
          <w:rFonts w:ascii="Arial" w:cs="Arial" w:eastAsia="Arial" w:hAnsi="Arial"/>
          <w:sz w:val="18"/>
          <w:szCs w:val="18"/>
          <w:color w:val="auto"/>
        </w:rPr>
        <w:t>Clients who purchase our fertility benefits solution also typically pay us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years ended December 31, 2019 and 2018.</w:t>
      </w:r>
    </w:p>
    <w:p>
      <w:pPr>
        <w:spacing w:after="0" w:line="188"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w:t>
      </w:r>
      <w:r>
        <w:rPr>
          <w:rFonts w:ascii="Arial" w:cs="Arial" w:eastAsia="Arial" w:hAnsi="Arial"/>
          <w:sz w:val="8"/>
          <w:szCs w:val="8"/>
          <w:color w:val="auto"/>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5" w:lineRule="exact"/>
        <w:rPr>
          <w:sz w:val="20"/>
          <w:szCs w:val="20"/>
          <w:color w:val="auto"/>
        </w:rPr>
      </w:pPr>
    </w:p>
    <w:p>
      <w:pPr>
        <w:ind w:left="40" w:right="159" w:firstLine="648"/>
        <w:spacing w:after="0" w:line="342"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b w:val="1"/>
          <w:bCs w:val="1"/>
          <w:i w:val="1"/>
          <w:iCs w:val="1"/>
          <w:color w:val="auto"/>
        </w:rPr>
        <w:t xml:space="preserve">Member and Client Base. </w:t>
      </w:r>
      <w:r>
        <w:rPr>
          <w:rFonts w:ascii="Arial" w:cs="Arial" w:eastAsia="Arial" w:hAnsi="Arial"/>
          <w:sz w:val="16"/>
          <w:szCs w:val="16"/>
          <w:color w:val="auto"/>
        </w:rPr>
        <w:t>Our addressable market is large self-insured employers. There are approximately 8,000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self-insured employers in the United States (excluding quasi-governmental entities, such as universities and school systems, and labor unions) who have a minimum of 1,000 employees, representing approximately 69 million potential covered lives in total. Our current member base of approximately 2.1 million represents only 3%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self-insured employers by leveraging our strong relationships with benefits consultants. In particular, we are focused on expanding the number of clients with more than 2,500 covered lives. As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December 31, 2019 and 2018 we serve 87 and 33 clients, respectively, representing 1,517,000 and 720,200 members, respectively.</w:t>
      </w:r>
    </w:p>
    <w:p>
      <w:pPr>
        <w:spacing w:after="0" w:line="170"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6"/>
          <w:szCs w:val="16"/>
          <w:color w:val="auto"/>
        </w:rPr>
        <w:t>Importantly, as we have continued to grow, we have meaningfully diversified our client base across more than 25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Client Tier (Members)</w:t>
            </w: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559"/>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Clients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Members</w:t>
            </w:r>
          </w:p>
        </w:tc>
        <w:tc>
          <w:tcPr>
            <w:tcW w:w="140" w:type="dxa"/>
            <w:vAlign w:val="bottom"/>
          </w:tcPr>
          <w:p>
            <w:pPr>
              <w:spacing w:after="0"/>
              <w:rPr>
                <w:sz w:val="12"/>
                <w:szCs w:val="12"/>
                <w:color w:val="auto"/>
              </w:rPr>
            </w:pPr>
          </w:p>
        </w:tc>
        <w:tc>
          <w:tcPr>
            <w:tcW w:w="8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Clients</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to 2,500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2,501 - 10,000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10,001 - 50,000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180,700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Greater than 50,000</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866,000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430,400</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1,517,000</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720,200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Benefits Utilization. </w:t>
      </w:r>
      <w:r>
        <w:rPr>
          <w:rFonts w:ascii="Arial" w:cs="Arial" w:eastAsia="Arial" w:hAnsi="Arial"/>
          <w:sz w:val="16"/>
          <w:szCs w:val="16"/>
          <w:color w:val="auto"/>
        </w:rPr>
        <w:t>A key driver of our revenue is the number of members we serve and the rate at which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 their fertility benefits. As our client base has grown, our membership has grown from approximately 110,000 members in 2016 when we launched our fertility benefits solution to 1.5 million members at December 31, 2019.</w:t>
      </w:r>
    </w:p>
    <w:p>
      <w:pPr>
        <w:spacing w:after="0" w:line="149"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The following table highlights the number of ART cycles performed for Progyny members and the member utilization rates for each of the periods presented.</w:t>
      </w:r>
    </w:p>
    <w:p>
      <w:pPr>
        <w:spacing w:after="0" w:line="17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w:t>
      </w:r>
    </w:p>
    <w:p>
      <w:pPr>
        <w:ind w:left="77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240" w:type="dxa"/>
            <w:vAlign w:val="bottom"/>
            <w:tcBorders>
              <w:bottom w:val="single" w:sz="8" w:color="CCEEFF"/>
            </w:tcBorders>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Assisted Reproductive Treatment (ART) Cycles</w:t>
            </w:r>
            <w:r>
              <w:rPr>
                <w:rFonts w:ascii="Arial" w:cs="Arial" w:eastAsia="Arial" w:hAnsi="Arial"/>
                <w:sz w:val="8"/>
                <w:szCs w:val="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Utilization - All Members</w:t>
            </w:r>
            <w:r>
              <w:rPr>
                <w:rFonts w:ascii="Arial" w:cs="Arial" w:eastAsia="Arial" w:hAnsi="Arial"/>
                <w:sz w:val="8"/>
                <w:szCs w:val="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 Female Only</w:t>
            </w:r>
            <w:r>
              <w:rPr>
                <w:rFonts w:ascii="Arial" w:cs="Arial" w:eastAsia="Arial" w:hAnsi="Arial"/>
                <w:sz w:val="8"/>
                <w:szCs w:val="8"/>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108"/>
        </w:trPr>
        <w:tc>
          <w:tcPr>
            <w:tcW w:w="224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4" w:lineRule="exact"/>
        <w:rPr>
          <w:sz w:val="20"/>
          <w:szCs w:val="20"/>
          <w:color w:val="auto"/>
        </w:rPr>
      </w:pPr>
    </w:p>
    <w:p>
      <w:pPr>
        <w:ind w:left="360" w:right="859" w:hanging="316"/>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170" w:lineRule="exact"/>
        <w:rPr>
          <w:rFonts w:ascii="Arial" w:cs="Arial" w:eastAsia="Arial" w:hAnsi="Arial"/>
          <w:sz w:val="18"/>
          <w:szCs w:val="18"/>
          <w:color w:val="auto"/>
        </w:rPr>
      </w:pPr>
    </w:p>
    <w:p>
      <w:pPr>
        <w:ind w:left="360" w:right="99" w:hanging="316"/>
        <w:spacing w:after="0" w:line="255"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40" w:right="519" w:firstLine="648"/>
        <w:spacing w:after="0" w:line="287"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w:t>
      </w:r>
    </w:p>
    <w:p>
      <w:pPr>
        <w:spacing w:after="0" w:line="2" w:lineRule="exact"/>
        <w:rPr>
          <w:sz w:val="20"/>
          <w:szCs w:val="20"/>
          <w:color w:val="auto"/>
        </w:rPr>
      </w:pPr>
    </w:p>
    <w:p>
      <w:pPr>
        <w:ind w:left="40" w:right="79"/>
        <w:spacing w:after="0" w:line="252" w:lineRule="auto"/>
        <w:rPr>
          <w:sz w:val="20"/>
          <w:szCs w:val="20"/>
          <w:color w:val="auto"/>
        </w:rPr>
      </w:pPr>
      <w:r>
        <w:rPr>
          <w:rFonts w:ascii="Arial" w:cs="Arial" w:eastAsia="Arial" w:hAnsi="Arial"/>
          <w:sz w:val="18"/>
          <w:szCs w:val="18"/>
          <w:color w:val="auto"/>
        </w:rPr>
        <w:t>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ind w:left="40" w:right="279" w:firstLine="648"/>
        <w:spacing w:after="0" w:line="296"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and related information technology support costs. Our contracts with provider clinics are typically for a term of one to two years.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Services</w:t>
      </w:r>
    </w:p>
    <w:p>
      <w:pPr>
        <w:spacing w:after="0" w:line="225" w:lineRule="exact"/>
        <w:rPr>
          <w:sz w:val="20"/>
          <w:szCs w:val="20"/>
          <w:color w:val="auto"/>
        </w:rPr>
      </w:pPr>
    </w:p>
    <w:p>
      <w:pPr>
        <w:ind w:left="40" w:right="319" w:firstLine="648"/>
        <w:spacing w:after="0" w:line="255" w:lineRule="auto"/>
        <w:rPr>
          <w:sz w:val="20"/>
          <w:szCs w:val="20"/>
          <w:color w:val="auto"/>
        </w:rPr>
      </w:pPr>
      <w:r>
        <w:rPr>
          <w:rFonts w:ascii="Arial" w:cs="Arial" w:eastAsia="Arial" w:hAnsi="Arial"/>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40" w:right="1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left="40" w:right="13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(including a step up in public company related expenses) for employees and professional fees and insurance and related third-party consulting services on an ongoing basis as a public company.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expense includes interest expense and stock warrant valuation adjustment.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ind w:left="40" w:right="259" w:firstLine="648"/>
        <w:spacing w:after="0" w:line="279" w:lineRule="auto"/>
        <w:rPr>
          <w:sz w:val="20"/>
          <w:szCs w:val="20"/>
          <w:color w:val="auto"/>
        </w:rPr>
      </w:pPr>
      <w:r>
        <w:rPr>
          <w:rFonts w:ascii="Arial" w:cs="Arial" w:eastAsia="Arial" w:hAnsi="Arial"/>
          <w:sz w:val="17"/>
          <w:szCs w:val="17"/>
          <w:color w:val="auto"/>
        </w:rPr>
        <w:t>We are subject to income taxes in the United States. As of December 31, 2019, and 2018, we recorded a full valuation allowance for our deferred tax assets based on our historical loss and the uncertainty regarding our ability to project future taxable income. In future periods, if we conclude we have future taxable income sufficient to recognize the deferred tax assets, we may reduce or eliminate the valuation allowance.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w:t>
      </w:r>
    </w:p>
    <w:p>
      <w:pPr>
        <w:ind w:left="7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4"/>
          </w:tcPr>
          <w:p>
            <w:pPr>
              <w:jc w:val="center"/>
              <w:ind w:left="39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229,683</w:t>
            </w:r>
          </w:p>
        </w:tc>
        <w:tc>
          <w:tcPr>
            <w:tcW w:w="14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105,400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r>
              <w:rPr>
                <w:rFonts w:ascii="Arial" w:cs="Arial" w:eastAsia="Arial" w:hAnsi="Arial"/>
                <w:sz w:val="8"/>
                <w:szCs w:val="8"/>
                <w:color w:val="auto"/>
              </w:rPr>
              <w:t>(1)</w:t>
            </w:r>
          </w:p>
        </w:tc>
        <w:tc>
          <w:tcPr>
            <w:tcW w:w="2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85,966</w:t>
            </w: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19,434</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8"/>
                <w:szCs w:val="8"/>
                <w:color w:val="auto"/>
              </w:rPr>
              <w:t>(1)</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7,285</w:t>
            </w: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8"/>
                <w:szCs w:val="8"/>
                <w:color w:val="auto"/>
              </w:rPr>
              <w:t>(1)</w:t>
            </w:r>
          </w:p>
        </w:tc>
        <w:tc>
          <w:tcPr>
            <w:tcW w:w="2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15,601</w:t>
            </w:r>
          </w:p>
        </w:tc>
      </w:tr>
      <w:tr>
        <w:trPr>
          <w:trHeight w:val="209"/>
        </w:trPr>
        <w:tc>
          <w:tcPr>
            <w:tcW w:w="4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22,886</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(18,234)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09"/>
        </w:trPr>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30"/>
        </w:trPr>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from continuing operations</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10"/>
        </w:trPr>
        <w:tc>
          <w:tcPr>
            <w:tcW w:w="4360" w:type="dxa"/>
            <w:vAlign w:val="bottom"/>
            <w:gridSpan w:val="2"/>
          </w:tcPr>
          <w:p>
            <w:pPr>
              <w:spacing w:after="0" w:line="203" w:lineRule="exact"/>
              <w:rPr>
                <w:sz w:val="20"/>
                <w:szCs w:val="20"/>
                <w:color w:val="auto"/>
              </w:rPr>
            </w:pPr>
            <w:r>
              <w:rPr>
                <w:rFonts w:ascii="Arial" w:cs="Arial" w:eastAsia="Arial" w:hAnsi="Arial"/>
                <w:sz w:val="18"/>
                <w:szCs w:val="18"/>
                <w:color w:val="auto"/>
              </w:rPr>
              <w:t>Adjusted EBITDA</w:t>
            </w:r>
          </w:p>
        </w:tc>
        <w:tc>
          <w:tcPr>
            <w:tcW w:w="2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1,428</w:t>
            </w:r>
          </w:p>
        </w:tc>
      </w:tr>
      <w:tr>
        <w:trPr>
          <w:trHeight w:val="108"/>
        </w:trPr>
        <w:tc>
          <w:tcPr>
            <w:tcW w:w="22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318"/>
        </w:trPr>
        <w:tc>
          <w:tcPr>
            <w:tcW w:w="4360" w:type="dxa"/>
            <w:vAlign w:val="bottom"/>
            <w:gridSpan w:val="2"/>
          </w:tcPr>
          <w:p>
            <w:pPr>
              <w:spacing w:after="0" w:line="207" w:lineRule="exact"/>
              <w:rPr>
                <w:sz w:val="20"/>
                <w:szCs w:val="20"/>
                <w:color w:val="auto"/>
              </w:rPr>
            </w:pPr>
            <w:r>
              <w:rPr>
                <w:rFonts w:ascii="Arial" w:cs="Arial" w:eastAsia="Arial" w:hAnsi="Arial"/>
                <w:sz w:val="18"/>
                <w:szCs w:val="18"/>
                <w:color w:val="auto"/>
                <w:w w:val="91"/>
              </w:rPr>
              <w:t>(1) Includes stock</w:t>
            </w:r>
            <w:r>
              <w:rPr>
                <w:rFonts w:ascii="MS PGothic" w:cs="MS PGothic" w:eastAsia="MS PGothic" w:hAnsi="MS PGothic"/>
                <w:sz w:val="18"/>
                <w:szCs w:val="18"/>
                <w:color w:val="auto"/>
                <w:w w:val="91"/>
              </w:rPr>
              <w:t>‑</w:t>
            </w:r>
            <w:r>
              <w:rPr>
                <w:rFonts w:ascii="Arial" w:cs="Arial" w:eastAsia="Arial" w:hAnsi="Arial"/>
                <w:sz w:val="18"/>
                <w:szCs w:val="18"/>
                <w:color w:val="auto"/>
                <w:w w:val="91"/>
              </w:rPr>
              <w:t>based compensation expense as follows:</w:t>
            </w: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5"/>
        </w:trPr>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93"/>
              </w:rPr>
              <w:t>Year Ended</w:t>
            </w:r>
          </w:p>
        </w:tc>
        <w:tc>
          <w:tcPr>
            <w:tcW w:w="740" w:type="dxa"/>
            <w:vAlign w:val="bottom"/>
          </w:tcPr>
          <w:p>
            <w:pPr>
              <w:spacing w:after="0"/>
              <w:rPr>
                <w:sz w:val="24"/>
                <w:szCs w:val="24"/>
                <w:color w:val="auto"/>
              </w:rPr>
            </w:pPr>
          </w:p>
        </w:tc>
      </w:tr>
      <w:tr>
        <w:trPr>
          <w:trHeight w:val="171"/>
        </w:trPr>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17"/>
        </w:trPr>
        <w:tc>
          <w:tcPr>
            <w:tcW w:w="4360" w:type="dxa"/>
            <w:vAlign w:val="bottom"/>
            <w:gridSpan w:val="2"/>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r>
      <w:tr>
        <w:trPr>
          <w:trHeight w:val="864"/>
        </w:trPr>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jc w:val="right"/>
              <w:ind w:right="1830"/>
              <w:spacing w:after="0"/>
              <w:rPr>
                <w:sz w:val="20"/>
                <w:szCs w:val="20"/>
                <w:color w:val="auto"/>
              </w:rPr>
            </w:pPr>
            <w:r>
              <w:rPr>
                <w:rFonts w:ascii="Arial" w:cs="Arial" w:eastAsia="Arial" w:hAnsi="Arial"/>
                <w:sz w:val="18"/>
                <w:szCs w:val="18"/>
                <w:color w:val="auto"/>
                <w:w w:val="89"/>
              </w:rPr>
              <w:t>60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0"/>
        </w:trPr>
        <w:tc>
          <w:tcPr>
            <w:tcW w:w="2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w:t>
      </w:r>
    </w:p>
    <w:p>
      <w:pPr>
        <w:ind w:left="7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 as a percentage of revenue: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100 %</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700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r>
      <w:tr>
        <w:trPr>
          <w:trHeight w:val="209"/>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expense, net</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(3)</w:t>
            </w: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r>
      <w:tr>
        <w:trPr>
          <w:trHeight w:val="23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continuing operations</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r>
      <w:tr>
        <w:trPr>
          <w:trHeight w:val="210"/>
        </w:trPr>
        <w:tc>
          <w:tcPr>
            <w:tcW w:w="7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EBITDA</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24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tcPr>
          <w:p>
            <w:pPr>
              <w:jc w:val="right"/>
              <w:ind w:right="50"/>
              <w:spacing w:after="0" w:line="203" w:lineRule="exact"/>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ind w:left="40" w:right="359" w:firstLine="648"/>
        <w:spacing w:after="0" w:line="29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66"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(7) it does not include legal fees that may be payable in connection with a vendor arbitration; and (8) it does not include non-deferred costs associated with the IPO.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(loss) from continuing operations and other U.S. GAAP results.</w:t>
      </w:r>
    </w:p>
    <w:p>
      <w:pPr>
        <w:spacing w:after="0" w:line="174"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We calculate Adjusted EBITDA as net loss from continuing operations, adjusted to exclude depreciation and amortization, stock-based compensation expense, net interest expense, convertible preferred stock warrant valuation adjustment, provision (benefit) for income taxes, legal fees associated with a vendor arbitration and non-deferred IPO costs. The following table presents a reconciliation of Adjusted EBITDA to net loss from continuing operations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jc w:val="right"/>
              <w:ind w:right="109"/>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5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2"/>
                <w:szCs w:val="12"/>
                <w:color w:val="auto"/>
              </w:rPr>
            </w:pPr>
          </w:p>
        </w:tc>
      </w:tr>
      <w:tr>
        <w:trPr>
          <w:trHeight w:val="344"/>
        </w:trPr>
        <w:tc>
          <w:tcPr>
            <w:tcW w:w="5260" w:type="dxa"/>
            <w:vAlign w:val="bottom"/>
          </w:tcPr>
          <w:p>
            <w:pPr>
              <w:spacing w:after="0"/>
              <w:rPr>
                <w:sz w:val="20"/>
                <w:szCs w:val="20"/>
                <w:color w:val="auto"/>
              </w:rPr>
            </w:pPr>
            <w:r>
              <w:rPr>
                <w:rFonts w:ascii="Arial" w:cs="Arial" w:eastAsia="Arial" w:hAnsi="Arial"/>
                <w:sz w:val="18"/>
                <w:szCs w:val="18"/>
                <w:color w:val="auto"/>
              </w:rPr>
              <w:t>Net (loss) income from continuing operations</w:t>
            </w:r>
          </w:p>
        </w:tc>
        <w:tc>
          <w:tcPr>
            <w:tcW w:w="11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(8,569)</w:t>
            </w:r>
          </w:p>
        </w:tc>
        <w:tc>
          <w:tcPr>
            <w:tcW w:w="240" w:type="dxa"/>
            <w:vAlign w:val="bottom"/>
          </w:tcPr>
          <w:p>
            <w:pPr>
              <w:spacing w:after="0"/>
              <w:rPr>
                <w:sz w:val="24"/>
                <w:szCs w:val="24"/>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(5,116)</w:t>
            </w:r>
          </w:p>
        </w:tc>
        <w:tc>
          <w:tcPr>
            <w:tcW w:w="260" w:type="dxa"/>
            <w:vAlign w:val="bottom"/>
          </w:tcPr>
          <w:p>
            <w:pPr>
              <w:spacing w:after="0"/>
              <w:rPr>
                <w:sz w:val="24"/>
                <w:szCs w:val="24"/>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Add:</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2,997</w:t>
            </w: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Convertible preferred stock warrant valuation adjustment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2,944</w:t>
            </w: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(1,777)</w:t>
            </w:r>
          </w:p>
        </w:tc>
        <w:tc>
          <w:tcPr>
            <w:tcW w:w="260" w:type="dxa"/>
            <w:vAlign w:val="bottom"/>
          </w:tcPr>
          <w:p>
            <w:pPr>
              <w:spacing w:after="0"/>
              <w:rPr>
                <w:sz w:val="18"/>
                <w:szCs w:val="18"/>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Legal fees associated with a vendor arbitration</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Non-deferred IPO Costs</w:t>
            </w: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Adjusted EBITDA</w:t>
            </w:r>
          </w:p>
        </w:tc>
        <w:tc>
          <w:tcPr>
            <w:tcW w:w="9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6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Years Ended December 31, 2019 and 2018</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$ 229,683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$ 105,400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Revenue increased by $124.3 million, or 118%, for the year ended December 31, 2019 compared to the year ended December 31, 2018. This increase is primarily due to a $89.8 million or 90% increase in revenue from our fertility benefits solution and a $34.4 million or 614%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The growth outpaces the fertility benefits revenue due to the fact that Progyny Rx was introduced in the marketplace in the third quarter of 2017 and went live with a select number of clients in January 1, 2018. Our revenue growth in 2019 benefited from having Progyny Rx available for the full selling season in 2018 to both new and existing clients.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4"/>
              </w:rPr>
              <w:t>$ 184,178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$ 85,966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Cost of services increased by $98.2 million, or 114%, for the year ended December 31, 2019 compared to the year ended December 31, 2018. This increase is primarily due to a $93.0 million increase in medical treatment and pharmacy prescription costs associated with the fertility treatments delivered and a $5.2 million increase in personnel and overhead costs for our care management services teams and an increase in costs of adjudicating claims.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$ 45,505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$ 19,434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Gross margin</w:t>
            </w:r>
          </w:p>
        </w:tc>
        <w:tc>
          <w:tcPr>
            <w:tcW w:w="2660" w:type="dxa"/>
            <w:vAlign w:val="bottom"/>
            <w:gridSpan w:val="2"/>
          </w:tcPr>
          <w:p>
            <w:pPr>
              <w:jc w:val="right"/>
              <w:ind w:right="28"/>
              <w:spacing w:after="0"/>
              <w:rPr>
                <w:sz w:val="20"/>
                <w:szCs w:val="20"/>
                <w:color w:val="auto"/>
              </w:rPr>
            </w:pPr>
            <w:r>
              <w:rPr>
                <w:rFonts w:ascii="Arial" w:cs="Arial" w:eastAsia="Arial" w:hAnsi="Arial"/>
                <w:sz w:val="18"/>
                <w:szCs w:val="18"/>
                <w:color w:val="auto"/>
              </w:rPr>
              <w:t>19.8%</w:t>
            </w: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Gross profit increased by $26.1 million, or 134%, for the year ended December 31, 2019 compared to the year ended December 31, 2018.</w:t>
      </w:r>
    </w:p>
    <w:p>
      <w:pPr>
        <w:spacing w:after="0" w:line="170"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Gross margin increased 140 basis points for the year ended December 31, 2019 compared to year ended December 31, 2018 primarily due to increased operating efficiencies.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2"/>
              </w:rPr>
              <w:t>$ 11,901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$ 7,285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99" w:firstLine="648"/>
        <w:spacing w:after="0" w:line="259" w:lineRule="auto"/>
        <w:rPr>
          <w:sz w:val="20"/>
          <w:szCs w:val="20"/>
          <w:color w:val="auto"/>
        </w:rPr>
      </w:pPr>
      <w:r>
        <w:rPr>
          <w:rFonts w:ascii="Arial" w:cs="Arial" w:eastAsia="Arial" w:hAnsi="Arial"/>
          <w:sz w:val="18"/>
          <w:szCs w:val="18"/>
          <w:color w:val="auto"/>
        </w:rPr>
        <w:t>Sales and marketing expense increased by $4.6 million, or 63%, for the year ended December 31, 2019 compared to the year ended December 31, 2018. This increase was primarily due to a $3.6 million increase in personnel related costs (including a $0.4 million increase in stock based compensation) due to additional headcount and commissions for sales and marketing functions.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$ 23,927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$ 15,601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General and administrative expense increased by $8.3 million, or 53%, for the year ended December 31, 2019 compared to the year ended December 31, 2018. This increase was primarily due to a $3.6 million increase in personnel-related costs (including a $1.1 million increase in stock based compensation) due to additional headcount for general and administrative functions, $1.5 million increase in legal costs (including $1.3 million increase in legal costs associated with a vendor arbitration), $0.8 million increase in bad debt, and $2.4 million increase in other related general and administrative expenses including incremental costs related to being a public company.</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2"/>
              </w:rPr>
              <w:t>$ 18,234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$ 3,441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Other expense, net increased by $14.8 million, or 430%, for 2019 compared to 2018. This increase was primarily due to a charge related to the fair value adjustment of the preferred stock warrant of $15.2 million, offset by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$0.4 million in lower interest expense. The preferred stock warrants were converted to common stock warrants in connection with the IPO and will no longer be marked to market.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$ 1,777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For the year ended December 31, 2019 we recorded a provision for state taxes of $12,000. There is no provision or benefit for federal income taxes recorded for the year ended December 31, 2019. For the year ended December 31, 2018, we recorded a benefit for income taxes of $1.8 million as a result of the intraperiod tax allocation rules offsetting an equivalent provision for taxes associated with the sale of the discontinued operations of our early embryo viability assessment business.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Since inception, we have financed our operations primarily through sales of our solutions and the net proceeds we have received from sales of equity securities as further detailed below. As of December 31, 2019, our principal sources of liquidity were $80.4 million of cash and cash equivalents and $15 million of cash available on the revolving line of credit with Silicon Valley Bank.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5"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On October 29, 2019, we completed our IPO in which we issued and sold 6,700,000 shares of common stock at a public offering price of $13.00 per share. We received net proceeds of $77.5 million from the IPO, after deducting underwriters’ discounts and commissions of $5.9 million and offering costs of $3.7 million.</w:t>
      </w:r>
    </w:p>
    <w:p>
      <w:pPr>
        <w:spacing w:after="0" w:line="16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We believe that our existing cash and cash equivalents,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8"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6"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In June 2018, we entered into an agreement with Silicon Valley Bank to replace our then outstanding term loan with a revolving line of credit of up to $15.0 million that will mature on June 8,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w:t>
      </w:r>
    </w:p>
    <w:p>
      <w:pPr>
        <w:ind w:left="7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jc w:val="right"/>
              <w:ind w:right="57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(2,956)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0" w:type="dxa"/>
            <w:vAlign w:val="bottom"/>
          </w:tcPr>
          <w:p>
            <w:pPr>
              <w:spacing w:after="0"/>
              <w:rPr>
                <w:sz w:val="18"/>
                <w:szCs w:val="18"/>
                <w:color w:val="auto"/>
              </w:rPr>
            </w:pPr>
          </w:p>
        </w:tc>
      </w:tr>
      <w:tr>
        <w:trPr>
          <w:trHeight w:val="217"/>
        </w:trPr>
        <w:tc>
          <w:tcPr>
            <w:tcW w:w="6240" w:type="dxa"/>
            <w:vAlign w:val="bottom"/>
          </w:tcPr>
          <w:p>
            <w:pPr>
              <w:ind w:left="120"/>
              <w:spacing w:after="0"/>
              <w:rPr>
                <w:sz w:val="20"/>
                <w:szCs w:val="20"/>
                <w:color w:val="auto"/>
              </w:rPr>
            </w:pPr>
            <w:r>
              <w:rPr>
                <w:rFonts w:ascii="Arial" w:cs="Arial" w:eastAsia="Arial" w:hAnsi="Arial"/>
                <w:sz w:val="18"/>
                <w:szCs w:val="18"/>
                <w:color w:val="auto"/>
                <w:w w:val="94"/>
              </w:rPr>
              <w:t>Net increase (decrease) in cash and cash equivalents from continuing operations</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Net cash used in operating activities was $1.5 million for the year ended December 31, 2019, primarily consisting of a $8.6 million net loss from continuing operations adjusted for certain non-cash items, which include $5.1 million of stock based compensation expense, a $18.2 million change in fair value of warrant liabilities, $2.1 million of depreciation and amortization, and $1.6 million from bad debt expense. Changes in operating assets and liabilities resulted in cash used in operating activities from increases in accounts receivable of $25.3 million and prepaid assets and other assets of $4.5 million, offset by cash provided by operating activities from increases in accounts payable of $3.5 million and accrued expenses and other current liabilities of $6.4 million. These changes are a result of the impact of revenue growth combined with the timing of payments to third party providers and collections from clients.</w:t>
      </w:r>
    </w:p>
    <w:p>
      <w:pPr>
        <w:spacing w:after="0" w:line="178"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Net cash provided by operating activities was $2.3 million for the year ended December 31, 2018, primarily consisting of $0.7 million of net income, adjusted for certain non-cash items, which include $3.0 million of stock-based compensation, $2.9 million change in fair value of warrant liabilities, $1.9 million of depreciation and amortization, and $0.8 million from bad debt expense and the loss from discontinued operations of $5.8 million. The non-cash adjustments were partially offset by a $1.8 million increase in deferred tax benefits resulting from the sale of a discontinued business. Changes in operating assets and liabilities resulted in cash used in operating activities from increases in accounts receivable of $12.8 million, offset by cash provided by operating activities from increases in accounts payable of $10.4 million and accrued expenses and other current liabilities of $2.8 million. These changes are as a result of the impact of revenue growth combined with the timing of payments to third party providers and collections from clients.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40" w:right="319" w:firstLine="648"/>
        <w:spacing w:after="0" w:line="259" w:lineRule="auto"/>
        <w:rPr>
          <w:sz w:val="20"/>
          <w:szCs w:val="20"/>
          <w:color w:val="auto"/>
        </w:rPr>
      </w:pPr>
      <w:r>
        <w:rPr>
          <w:rFonts w:ascii="Arial" w:cs="Arial" w:eastAsia="Arial" w:hAnsi="Arial"/>
          <w:sz w:val="18"/>
          <w:szCs w:val="18"/>
          <w:color w:val="auto"/>
        </w:rPr>
        <w:t>Net cash used in investing activities from continuing operations was $3.0 million and $0.6 million for the years ended December 31, 2019 and 2018, respectively, consisting of purchases of computers, software, and leasehold improvements. Leasehold improvements of $2.0 million during 2019 were associated with the buildout of our new corporate office which was occupied in February 2020.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Net cash provided by financing activities was $84.5 million for the year ended December 31, 2019, primarily consisting of $78.4 million in proceeds from the issuance of common stock in our IPO ($0.9 million of IPO costs were not paid yet as of December 31, 2019), $6.5 million from stock option exercises, and $0.1 million from warrant exercises, partially offset by $0.3 million in net payments on our revolving line of credit with Silicon Valley Bank, and repurchases of common stock of $0.2 million.</w:t>
      </w:r>
    </w:p>
    <w:p>
      <w:pPr>
        <w:spacing w:after="0" w:line="188"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Net cash used by financing activities was $8.7 million for the year ended December 31, 2018 primarily due to repayment of $5.4 million term loan and $3.7 million of treasury stock purchases of common and preferred stock from existing shareholders partially offset by $0.3 million in net borrowings on our revolving line of credit with Silicon Valley Bank.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left="259"/>
              <w:spacing w:after="0"/>
              <w:rPr>
                <w:sz w:val="20"/>
                <w:szCs w:val="20"/>
                <w:color w:val="auto"/>
              </w:rPr>
            </w:pPr>
            <w:r>
              <w:rPr>
                <w:rFonts w:ascii="Arial" w:cs="Arial" w:eastAsia="Arial" w:hAnsi="Arial"/>
                <w:sz w:val="14"/>
                <w:szCs w:val="14"/>
                <w:b w:val="1"/>
                <w:bCs w:val="1"/>
                <w:color w:val="auto"/>
                <w:w w:val="91"/>
              </w:rPr>
              <w:t>Payments Due By Period</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1 - 3 Years</w:t>
            </w:r>
          </w:p>
        </w:tc>
        <w:tc>
          <w:tcPr>
            <w:tcW w:w="40" w:type="dxa"/>
            <w:vAlign w:val="bottom"/>
          </w:tcPr>
          <w:p>
            <w:pPr>
              <w:spacing w:after="0"/>
              <w:rPr>
                <w:sz w:val="10"/>
                <w:szCs w:val="10"/>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7"/>
              </w:rPr>
              <w:t>3 - 5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12,282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2,612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8"/>
              </w:rPr>
              <w:t>12,282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2,612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19" w:firstLine="648"/>
        <w:spacing w:after="0" w:line="285"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In September 2019, we entered into a sublease agreement for our corporate offices in New York, New York. The sublease is for a 25,212 square foot office and will expire in May</w:t>
      </w:r>
    </w:p>
    <w:p>
      <w:pPr>
        <w:spacing w:after="0" w:line="2" w:lineRule="exact"/>
        <w:rPr>
          <w:sz w:val="20"/>
          <w:szCs w:val="20"/>
          <w:color w:val="auto"/>
        </w:rPr>
      </w:pPr>
    </w:p>
    <w:p>
      <w:pPr>
        <w:ind w:left="40" w:right="399"/>
        <w:spacing w:after="0" w:line="260" w:lineRule="auto"/>
        <w:rPr>
          <w:sz w:val="20"/>
          <w:szCs w:val="20"/>
          <w:color w:val="auto"/>
        </w:rPr>
      </w:pPr>
      <w:r>
        <w:rPr>
          <w:rFonts w:ascii="Arial" w:cs="Arial" w:eastAsia="Arial" w:hAnsi="Arial"/>
          <w:sz w:val="18"/>
          <w:szCs w:val="18"/>
          <w:color w:val="auto"/>
        </w:rPr>
        <w:t>2029. Pursuant to the sublease, we will pay the base rent of approximately $1.3 million per year through the end of the fifth lease year and approximately $1.4 million per year thereafter through the expiration date.</w:t>
      </w:r>
    </w:p>
    <w:p>
      <w:pPr>
        <w:spacing w:after="0" w:line="208"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64"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For additional information about our critical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599" w:firstLine="648"/>
        <w:spacing w:after="0" w:line="308" w:lineRule="auto"/>
        <w:rPr>
          <w:sz w:val="20"/>
          <w:szCs w:val="20"/>
          <w:color w:val="auto"/>
        </w:rPr>
      </w:pPr>
      <w:r>
        <w:rPr>
          <w:rFonts w:ascii="Arial" w:cs="Arial" w:eastAsia="Arial" w:hAnsi="Arial"/>
          <w:sz w:val="17"/>
          <w:szCs w:val="17"/>
          <w:color w:val="auto"/>
        </w:rPr>
        <w:t>Our revenue is recognized when control of the promised goods or services is transferred to our clients in an amount that reflects the consideration we expect to be entitled to in exchange for those goods or services.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apply the following five-step model to recognize revenue from contracts with our clients:</w:t>
      </w:r>
    </w:p>
    <w:p>
      <w:pPr>
        <w:spacing w:after="0" w:line="225" w:lineRule="exact"/>
        <w:rPr>
          <w:sz w:val="20"/>
          <w:szCs w:val="20"/>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Our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8"/>
          <w:szCs w:val="18"/>
          <w:color w:val="auto"/>
        </w:rPr>
        <w:t>We primarily generate revenue through our fertility benefits solution, in which we provide our clients and their employees and partners, or our members, with fertility benefits. As part of the fertility benefits solution, we provide access to effective and cost-efficient fertility treatments, referred to as Smart Cycles, as well as other related services. Smart Cycles are our proprietary treatment bundles that include certain medical services available to members through our proprietary, credentialed network of provider clinics. In addition to access to our Smart Cycle treatment bundles and access to our network of provider clinics, the fertility benefits solution includes other comprehensive services, which we refer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our in house staff of PCAs.</w:t>
      </w:r>
    </w:p>
    <w:p>
      <w:pPr>
        <w:spacing w:after="0" w:line="194"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The promises within our fertility benefits contract with a client represent a single performance obligation because we provide a significant service of integrating our Smart Cycles and access to the fertility treatment services provided by provider clinics with the other comprehensive services into the combined fertility benefits solution that the client contracted to receive. Our fertility benefits solution is a stand-ready obligation that is satisfied over the contract term.</w:t>
      </w:r>
    </w:p>
    <w:p>
      <w:pPr>
        <w:spacing w:after="0" w:line="157"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Our contracts include the following sources of consideration, which are all variable: a PEPM administration fee (in most, but not all contracts) and a fixed rate per Smart Cycle. The PEPM administration fee is allocated between the fertility benefits solution and the pharmacy benefits solution based on standalone selling price, estimated using an expected cost plus margin method. We allocate the variable consideration related to the fixed rate per Smart Cycle to the distinct period during which the related services were performed as those fees relate specifically to our efforts to provide our fertility benefits solution to our clients in the period and represent the consideration we are entitled to for the fertility benefits services provided. As a result, the fixed rate per Smart Cycle is included in the transaction price and recognized in the period in which the Smart Cycle is provided to the member.</w:t>
      </w:r>
    </w:p>
    <w:p>
      <w:pPr>
        <w:spacing w:after="0" w:line="178"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Our contracts also include potential service level agreement refunds related to outcome based service metrics. These service level refunds, which are determined based on results of a full plan year, if met, are based on a percentage of the PEPM fee paid by clients. We estimate the variable consideration related to the total PEPM administration fee, less estimated refunds related to service level agreements, and recognize the amounts allocated to the fertility benefits solution ratably over the contract term. Our estimate of service level agreement refunds, have not historically resulted in significant adjustments to the transaction price.</w:t>
      </w:r>
    </w:p>
    <w:p>
      <w:pPr>
        <w:spacing w:after="0" w:line="192" w:lineRule="exact"/>
        <w:rPr>
          <w:sz w:val="20"/>
          <w:szCs w:val="20"/>
          <w:color w:val="auto"/>
        </w:rPr>
      </w:pPr>
    </w:p>
    <w:p>
      <w:pPr>
        <w:ind w:left="40" w:right="139" w:firstLine="648"/>
        <w:spacing w:after="0" w:line="311" w:lineRule="auto"/>
        <w:rPr>
          <w:sz w:val="20"/>
          <w:szCs w:val="20"/>
          <w:color w:val="auto"/>
        </w:rPr>
      </w:pPr>
      <w:r>
        <w:rPr>
          <w:rFonts w:ascii="Arial" w:cs="Arial" w:eastAsia="Arial" w:hAnsi="Arial"/>
          <w:sz w:val="16"/>
          <w:szCs w:val="16"/>
          <w:color w:val="auto"/>
        </w:rPr>
        <w:t>Clients are invoiced on a monthly basis for the PEPM administration fee. We invoice our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49"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We assess whether we are the principal or the agent for each arrangement with a client, since fertility treatment services are provided by a third party—the provider clinics. We are the principal in our arrangements with clients and therefore present revenue gross of the amounts paid to the provider clinics because we control the specified service (the fertility benefits solution) before it is transferred to the client. We integrate the fertility treatment services provided by the provider clinics into the overall fertility benefits solution that the client contracted to receive. In addition, we define the scope of the potential services to be performed by the provider clinics and monitor the performance of the provider clinics. Furthermore, we are primarily responsible for fulfilling the promise to the client and have discretion in setting the pricing, as we separately negotiate agreements with the provider clinics, which establish pricing for each treatment service. Pricing of services from provider clinics is independent from the fees charged to clients.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For clients that have the fertility benefits solution, we offer, as an add-on, our pharmacy benefits solution, which is a separate, fully integrated pharmacy benefit. As part of the pharmacy benefits solution, we provide care management services, which include our formulary plan design, prescription fulfillment, simplified authorization and timely delivery of the medications used during treatment through our network of specialty pharmacies, and clinical services consisting of member assessments, UnPack It calls, telephone support, online education, medication administration training, pharmacy support services and continuing PCA support.</w:t>
      </w:r>
    </w:p>
    <w:p>
      <w:pPr>
        <w:spacing w:after="0" w:line="192"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we provide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Our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We allocate the variable consideration related to the fixed fee per fertility drug to the distinct period during which the related services were performed, as those fees relate specifically to our efforts to provide our pharmacy benefits solution to clients in the period and represents the consideration we are entitled to for the pharmacy benefits services provided. As a result, the fixed fee per fertility drug is included in the transaction price and recognized in the period in which we are entitled to consideration from a client, which is when a prescription is filled and delivered to the members.</w:t>
      </w:r>
    </w:p>
    <w:p>
      <w:pPr>
        <w:spacing w:after="0" w:line="181"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color w:val="auto"/>
        </w:rPr>
        <w:t>As stated above, clients are invoiced on a monthly basis for the PEPM administration fee. We invoice the client and the member for their respective portions of the fixed fee per fertility drug, when the prescription services are completed by the specialty pharmacy. Once an invoice is issued, payment terms are typically between 30 to 60 days.</w:t>
      </w:r>
    </w:p>
    <w:p>
      <w:pPr>
        <w:spacing w:after="0" w:line="165"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We assess whether we are the principal or the agent for each arrangement with a client, as prescription fulfillment and clinical services are provided by a third party—the specialty pharmacies. We are the principal in our arrangements with clients, and therefore present revenue gross of the amounts paid to the specialty pharmacies. We control the specified service (the pharmacy benefits solution) before it is transferred to the client. We integrate the prescription fulfillment and clinical services provided by the pharmacies and PCAs into the overall pharmacy benefits solution that the client contracted to receive. In addition, we define the scope of the potential services to be performed by the specialty pharmacies and monitor the performance of the specialty pharmacies. Furthermore, we are primarily responsible for fulfilling the promise to the client and have discretion in setting the pricing, as we separately negotiate agreements with pharmacies, which establish pricing for each drug. Pricing of fertility drugs is independent from the fees charged to clients.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 and Accrued Claims Payable</w:t>
      </w:r>
    </w:p>
    <w:p>
      <w:pPr>
        <w:spacing w:after="0" w:line="225"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Accrued receivables for those fertility benefits claims are estimated based on historical experience for each period based on the fertility benefits services provided but for which a claim has not been received from the provider clinic. At the same time, cost of services and accrued claims payables (included within accrued expense and other current liabilities) are estimated based on the amount to be paid to the provider clinics and historical gross margin achieved. Estimates are adjusted to actual at the time of billing. Adjustments to original estimates have been not been material.</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We estimate the fair value of stock options granted to employees and directors using the Black-Scholes option-pricing model, which requires the input of subjective assumptions, including (1) the expected stock price volatility, (2) the expected term of the award, (3) the risk-free interest rate and (4) expected dividends. Effective January 1, 2018, we changed our accounting policy to account for forfeitures as they occur. Prior to January 1, 2018, forfeitures were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color w:val="auto"/>
        </w:rPr>
        <w:t>estimated at the date of grant and revised, if necessary, in subsequent periods if actual forfeitures differed from those estimates.</w:t>
      </w:r>
    </w:p>
    <w:p>
      <w:pPr>
        <w:spacing w:after="0" w:line="170"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fair value of the shares of common stock underlying the stock options has historically been determined by our Board of Directors as there was no public market for the common stock. The Board of Directors determines the fair value of our common stock by considering a number of objective and subjective factors, including: the valuation of comparable companies, sales of redeemable convertible preferred stock to unrelated third parties, our operating and financial performance, the lack of liquidity of common stock and general and industry specific economic outlook, amongst other factors. We selected companies with comparable characteristics to us, including enterprise value, risk profiles and position within the industry and with historical share price information sufficient to meet the expected term of the stock options.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230"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r>
      <w:tr>
        <w:trPr>
          <w:trHeight w:val="195"/>
        </w:trPr>
        <w:tc>
          <w:tcPr>
            <w:tcW w:w="6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48.6% -</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48.1% -</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term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5.63 - 6.28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5.38 - 6.10</w:t>
            </w:r>
          </w:p>
        </w:tc>
      </w:tr>
      <w:tr>
        <w:trPr>
          <w:trHeight w:val="216"/>
        </w:trPr>
        <w:tc>
          <w:tcPr>
            <w:tcW w:w="65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- 2.5%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- 3.1%</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2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Prior to our IPO, the absence of a public trading market of our common stock,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common stock at each grant date. These factors include:</w:t>
      </w:r>
    </w:p>
    <w:p>
      <w:pPr>
        <w:spacing w:after="0" w:line="166" w:lineRule="exact"/>
        <w:rPr>
          <w:sz w:val="20"/>
          <w:szCs w:val="20"/>
          <w:color w:val="auto"/>
        </w:rPr>
      </w:pPr>
    </w:p>
    <w:p>
      <w:pPr>
        <w:ind w:left="1020" w:hanging="328"/>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prices of common or preferred stock sold to third-party investors by us and in secondary transactions;</w:t>
      </w:r>
    </w:p>
    <w:p>
      <w:pPr>
        <w:spacing w:after="0" w:line="128" w:lineRule="exact"/>
        <w:rPr>
          <w:rFonts w:ascii="Arial" w:cs="Arial" w:eastAsia="Arial" w:hAnsi="Arial"/>
          <w:sz w:val="17"/>
          <w:szCs w:val="17"/>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history and the introduction of new services;</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1020" w:right="439" w:hanging="328"/>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IPO or a merger or acquisition of the company given prevailing market conditions;</w:t>
      </w:r>
    </w:p>
    <w:p>
      <w:pPr>
        <w:spacing w:after="0" w:line="62"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117" w:lineRule="exact"/>
        <w:rPr>
          <w:sz w:val="20"/>
          <w:szCs w:val="20"/>
          <w:color w:val="auto"/>
        </w:rPr>
      </w:pPr>
    </w:p>
    <w:p>
      <w:pPr>
        <w:ind w:left="40" w:right="299" w:firstLine="648"/>
        <w:spacing w:after="0" w:line="301" w:lineRule="auto"/>
        <w:rPr>
          <w:sz w:val="20"/>
          <w:szCs w:val="20"/>
          <w:color w:val="auto"/>
        </w:rPr>
      </w:pPr>
      <w:r>
        <w:rPr>
          <w:rFonts w:ascii="Arial" w:cs="Arial" w:eastAsia="Arial" w:hAnsi="Arial"/>
          <w:sz w:val="16"/>
          <w:szCs w:val="16"/>
          <w:color w:val="auto"/>
        </w:rPr>
        <w:t>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comparable publicly traded companies in our industry or similar business operations as of each valuation date and is adjusted to reflect the risks inherent in our cash flows.</w:t>
      </w:r>
    </w:p>
    <w:p>
      <w:pPr>
        <w:spacing w:after="0" w:line="170" w:lineRule="exact"/>
        <w:rPr>
          <w:sz w:val="20"/>
          <w:szCs w:val="20"/>
          <w:color w:val="auto"/>
        </w:rPr>
      </w:pPr>
    </w:p>
    <w:p>
      <w:pPr>
        <w:jc w:val="both"/>
        <w:ind w:left="40" w:right="259" w:firstLine="648"/>
        <w:spacing w:after="0" w:line="263" w:lineRule="auto"/>
        <w:rPr>
          <w:sz w:val="20"/>
          <w:szCs w:val="20"/>
          <w:color w:val="auto"/>
        </w:rPr>
      </w:pPr>
      <w:r>
        <w:rPr>
          <w:rFonts w:ascii="Arial" w:cs="Arial" w:eastAsia="Arial" w:hAnsi="Arial"/>
          <w:sz w:val="18"/>
          <w:szCs w:val="18"/>
          <w:color w:val="auto"/>
        </w:rPr>
        <w:t>For each valuation, the equity value determined by the income and market approaches was then allocated to the common stock using either the option pricing method, or OPM, or a hybrid method. The hybrid method is a hybrid of the probability weighted expected return method, or PWERM, and OPM.</w:t>
      </w:r>
    </w:p>
    <w:p>
      <w:pPr>
        <w:spacing w:after="0" w:line="184"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The option pricing method is based on a binomial lattice model, which allows for the identification of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IPO, as well as non-IPO market-based outcomes. In determining the fair value of the enterprise using the PWERM, we developed assumptions for an IPO liquidity event and the various outcomes that it could yield. With the OPM model, we assumed a stay private scenario. Our valuations prior to March 2019 were based on the OPM. Beginning March 31, 2019, we valued our common stock based on a hybrid method of the PWERM and the OPM.</w:t>
      </w:r>
    </w:p>
    <w:p>
      <w:pPr>
        <w:spacing w:after="0" w:line="166"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76"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Since our IPO, our Board of Directors determines the fair value of each share of underlying common stock based on the closing price of our common stock, on the date of grant, as reported by Nasdaq. Future expense amounts for any particular period could be affected by changes in our assumptions or market conditions.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For a full discussion of recently adopted accounting pronouncements, see Note 2 – Summary of Significant Accounting Policies, in the consolidated financial statements included in Part II, Item 8 of this Annual Report on Form 10-K.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40" w:right="259" w:firstLine="648"/>
        <w:spacing w:after="0" w:line="254"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40" w:right="17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99" w:firstLine="648"/>
        <w:spacing w:after="0" w:line="296" w:lineRule="auto"/>
        <w:rPr>
          <w:sz w:val="20"/>
          <w:szCs w:val="20"/>
          <w:color w:val="auto"/>
        </w:rPr>
      </w:pPr>
      <w:r>
        <w:rPr>
          <w:rFonts w:ascii="Arial" w:cs="Arial" w:eastAsia="Arial" w:hAnsi="Arial"/>
          <w:sz w:val="16"/>
          <w:szCs w:val="16"/>
          <w:color w:val="auto"/>
        </w:rPr>
        <w:t>At December 31, 2019, we had cash and cash equivalents of $80.4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left="4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78" w:lineRule="exact"/>
        <w:rPr>
          <w:sz w:val="20"/>
          <w:szCs w:val="20"/>
          <w:color w:val="auto"/>
        </w:rPr>
      </w:pPr>
    </w:p>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Report of Independent Registered Public Accounting Firm</w:t>
        </w:r>
      </w:hyperlink>
    </w:p>
    <w:p>
      <w:pPr>
        <w:ind w:left="40"/>
        <w:spacing w:after="0" w:line="219" w:lineRule="auto"/>
        <w:rPr>
          <w:sz w:val="20"/>
          <w:szCs w:val="20"/>
          <w:color w:val="auto"/>
        </w:rPr>
      </w:pPr>
      <w:r>
        <w:rPr>
          <w:rFonts w:ascii="Arial" w:cs="Arial" w:eastAsia="Arial" w:hAnsi="Arial"/>
          <w:sz w:val="18"/>
          <w:szCs w:val="18"/>
          <w:color w:val="auto"/>
        </w:rPr>
        <w:t>Financial Statements:</w:t>
      </w:r>
    </w:p>
    <w:p>
      <w:pPr>
        <w:ind w:left="220"/>
        <w:spacing w:after="0" w:line="219" w:lineRule="auto"/>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Balance Sheets</w:t>
        </w:r>
      </w:hyperlink>
    </w:p>
    <w:p>
      <w:pPr>
        <w:ind w:left="220"/>
        <w:spacing w:after="0" w:line="219" w:lineRule="auto"/>
        <w:rPr>
          <w:rFonts w:ascii="Arial" w:cs="Arial" w:eastAsia="Arial" w:hAnsi="Arial"/>
          <w:sz w:val="18"/>
          <w:szCs w:val="18"/>
          <w:color w:val="0000EE"/>
        </w:rPr>
      </w:pPr>
      <w:hyperlink w:anchor="page75">
        <w:r>
          <w:rPr>
            <w:rFonts w:ascii="Arial" w:cs="Arial" w:eastAsia="Arial" w:hAnsi="Arial"/>
            <w:sz w:val="18"/>
            <w:szCs w:val="18"/>
            <w:u w:val="single" w:color="auto"/>
            <w:color w:val="0000EE"/>
          </w:rPr>
          <w:t>Consolidated Statements of Operations and Comprehensive (Loss)</w:t>
        </w:r>
        <w:r>
          <w:rPr>
            <w:rFonts w:ascii="Arial" w:cs="Arial" w:eastAsia="Arial" w:hAnsi="Arial"/>
            <w:sz w:val="18"/>
            <w:szCs w:val="18"/>
            <w:color w:val="0000EE"/>
          </w:rPr>
          <w:t xml:space="preserve"> </w:t>
        </w:r>
      </w:hyperlink>
      <w:r>
        <w:rPr>
          <w:rFonts w:ascii="Arial" w:cs="Arial" w:eastAsia="Arial" w:hAnsi="Arial"/>
          <w:sz w:val="18"/>
          <w:szCs w:val="18"/>
          <w:color w:val="000000"/>
        </w:rPr>
        <w:t>Income</w:t>
      </w:r>
    </w:p>
    <w:p>
      <w:pPr>
        <w:ind w:left="220"/>
        <w:spacing w:after="0"/>
        <w:rPr>
          <w:rFonts w:ascii="Arial" w:cs="Arial" w:eastAsia="Arial" w:hAnsi="Arial"/>
          <w:sz w:val="16"/>
          <w:szCs w:val="16"/>
          <w:color w:val="0000EE"/>
        </w:rPr>
      </w:pPr>
      <w:hyperlink w:anchor="page76">
        <w:r>
          <w:rPr>
            <w:rFonts w:ascii="Arial" w:cs="Arial" w:eastAsia="Arial" w:hAnsi="Arial"/>
            <w:sz w:val="16"/>
            <w:szCs w:val="16"/>
            <w:u w:val="single" w:color="auto"/>
            <w:color w:val="0000EE"/>
          </w:rPr>
          <w:t>Consolidated Statements of Changes in Convertible Preferred Stock and Stockholders’ Equity (Deficit</w:t>
        </w:r>
      </w:hyperlink>
      <w:r>
        <w:rPr>
          <w:rFonts w:ascii="Arial" w:cs="Arial" w:eastAsia="Arial" w:hAnsi="Arial"/>
          <w:sz w:val="16"/>
          <w:szCs w:val="16"/>
          <w:color w:val="000000"/>
        </w:rPr>
        <w:t>)</w:t>
      </w:r>
    </w:p>
    <w:p>
      <w:pPr>
        <w:ind w:left="220"/>
        <w:spacing w:after="0" w:line="224"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Cash Flows</w:t>
        </w:r>
      </w:hyperlink>
    </w:p>
    <w:p>
      <w:pPr>
        <w:spacing w:after="0" w:line="1" w:lineRule="exact"/>
        <w:rPr>
          <w:sz w:val="20"/>
          <w:szCs w:val="20"/>
          <w:color w:val="auto"/>
        </w:rPr>
      </w:pPr>
    </w:p>
    <w:p>
      <w:pPr>
        <w:ind w:left="22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6350</wp:posOffset>
            </wp:positionV>
            <wp:extent cx="3429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15"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73</w:t>
      </w:r>
    </w:p>
    <w:p>
      <w:pPr>
        <w:spacing w:after="0" w:line="217"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74</w:t>
      </w:r>
    </w:p>
    <w:p>
      <w:pPr>
        <w:spacing w:after="0" w:line="28"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75</w:t>
      </w:r>
    </w:p>
    <w:p>
      <w:pPr>
        <w:spacing w:after="0" w:line="28"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76</w:t>
      </w:r>
    </w:p>
    <w:p>
      <w:pPr>
        <w:spacing w:after="0" w:line="28"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77</w:t>
      </w:r>
    </w:p>
    <w:p>
      <w:pPr>
        <w:spacing w:after="0" w:line="28" w:lineRule="exact"/>
        <w:rPr>
          <w:sz w:val="20"/>
          <w:szCs w:val="20"/>
          <w:color w:val="auto"/>
        </w:rPr>
      </w:pPr>
    </w:p>
    <w:p>
      <w:pPr>
        <w:jc w:val="right"/>
        <w:ind w:right="59"/>
        <w:spacing w:after="0"/>
        <w:rPr>
          <w:sz w:val="20"/>
          <w:szCs w:val="20"/>
          <w:color w:val="auto"/>
        </w:rPr>
      </w:pPr>
      <w:r>
        <w:rPr>
          <w:rFonts w:ascii="Arial" w:cs="Arial" w:eastAsia="Arial" w:hAnsi="Arial"/>
          <w:sz w:val="14"/>
          <w:szCs w:val="14"/>
          <w:color w:val="auto"/>
        </w:rPr>
        <w:t>78</w:t>
      </w:r>
    </w:p>
    <w:p>
      <w:pPr>
        <w:sectPr>
          <w:pgSz w:w="11900" w:h="16838" w:orient="portrait"/>
          <w:cols w:equalWidth="0" w:num="2">
            <w:col w:w="7820" w:space="720"/>
            <w:col w:w="47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 Progyny, Inc. and subsidiaries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We have audited the accompanying consolidated balance sheets of Progyny, Inc. (the Company) as of December 31, 2019 and 2018, the related consolidated statements of operations and comprehensive income (loss), changes in convertible preferred stock and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40" w:right="31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w w:val="94"/>
              </w:rPr>
              <w:t>Accounts receivable, net of $6,320 and $3,486 of allowances at December 31, 2019 and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December 31, 2018, respectively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47,059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23,325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Assets of discontinued operations, current</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7"/>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150,434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r>
      <w:tr>
        <w:trPr>
          <w:trHeight w:val="184"/>
        </w:trPr>
        <w:tc>
          <w:tcPr>
            <w:tcW w:w="67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34"/>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(DEFICIT)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9,782</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preferred stock warrant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Short term debt</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w:t>
            </w:r>
          </w:p>
        </w:tc>
      </w:tr>
      <w:tr>
        <w:trPr>
          <w:trHeight w:val="210"/>
        </w:trPr>
        <w:tc>
          <w:tcPr>
            <w:tcW w:w="67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30,202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w w:val="95"/>
              </w:rPr>
              <w:t>Convertible preferred stock (Note 12), $0.0001 par value; 100,000,000 and 314,930,070</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w w:val="92"/>
              </w:rPr>
              <w:t>shares authorized as of December 31, 2019 and December 31, 2018; zero and 65,428,088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shares issued and outstanding at December 31, 2019 and December 31, 2018,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respectively; aggregate liquidation preference of $0 and $106,369 as of</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December 31, 2019 and December 31, 2018, respectively</w:t>
            </w:r>
          </w:p>
        </w:tc>
        <w:tc>
          <w:tcPr>
            <w:tcW w:w="2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106,237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rPr>
              <w:t>Common stock, $0.0001 par value; 1,000,000,000 shares authorized at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w w:val="93"/>
              </w:rPr>
              <w:t>December 31, 2019 and 417,000,000 at December 31, 2018; 84,188,202 and 5,155,407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shares issued and outstanding at December 31, 2019 and December 31, 2018,</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rPr>
              <w:t>Treasury stock, at cost , $0.0001 par value; 615,980 shares outstanding at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December 31, 2019 and 589,320 at December 31, 2018</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(113,483)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(104,854)</w:t>
            </w:r>
          </w:p>
        </w:tc>
      </w:tr>
      <w:tr>
        <w:trPr>
          <w:trHeight w:val="20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(95,115)</w:t>
            </w:r>
          </w:p>
        </w:tc>
      </w:tr>
      <w:tr>
        <w:trPr>
          <w:trHeight w:val="21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41,324</w:t>
            </w: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48,584</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41,184</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preferred stock warrant valuation adjustment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from discontinued operations, net of taxes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and comprehensive (loss) income</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5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w w:val="95"/>
              </w:rPr>
              <w:t>Total net loss per share attributable to common stockholders basic and</w:t>
            </w:r>
          </w:p>
        </w:tc>
        <w:tc>
          <w:tcPr>
            <w:tcW w:w="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7"/>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6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2"/>
              </w:rPr>
              <w:t>Weighted-average shares used in computing net (loss) earnings per share:</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20,735,202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5,539,739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5,677,860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Progyny,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Equity (Deficit)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740" w:type="dxa"/>
            <w:vAlign w:val="bottom"/>
            <w:tcBorders>
              <w:right w:val="single" w:sz="8" w:color="auto"/>
            </w:tcBorders>
            <w:gridSpan w:val="5"/>
          </w:tcPr>
          <w:p>
            <w:pPr>
              <w:jc w:val="right"/>
              <w:ind w:right="520"/>
              <w:spacing w:after="0"/>
              <w:rPr>
                <w:sz w:val="20"/>
                <w:szCs w:val="20"/>
                <w:color w:val="auto"/>
              </w:rPr>
            </w:pPr>
            <w:r>
              <w:rPr>
                <w:rFonts w:ascii="Arial" w:cs="Arial" w:eastAsia="Arial" w:hAnsi="Arial"/>
                <w:sz w:val="15"/>
                <w:szCs w:val="15"/>
                <w:b w:val="1"/>
                <w:bCs w:val="1"/>
                <w:color w:val="auto"/>
              </w:rPr>
              <w:t>Convertible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1740" w:type="dxa"/>
            <w:vAlign w:val="bottom"/>
            <w:tcBorders>
              <w:right w:val="single" w:sz="8" w:color="auto"/>
            </w:tcBorders>
            <w:gridSpan w:val="5"/>
          </w:tcPr>
          <w:p>
            <w:pPr>
              <w:jc w:val="right"/>
              <w:ind w:right="400"/>
              <w:spacing w:after="0"/>
              <w:rPr>
                <w:sz w:val="20"/>
                <w:szCs w:val="20"/>
                <w:color w:val="auto"/>
              </w:rPr>
            </w:pPr>
            <w:r>
              <w:rPr>
                <w:rFonts w:ascii="Arial" w:cs="Arial" w:eastAsia="Arial" w:hAnsi="Arial"/>
                <w:sz w:val="15"/>
                <w:szCs w:val="15"/>
                <w:b w:val="1"/>
                <w:bCs w:val="1"/>
                <w:color w:val="auto"/>
              </w:rPr>
              <w:t>Preferred Stock</w:t>
            </w:r>
          </w:p>
        </w:tc>
        <w:tc>
          <w:tcPr>
            <w:tcW w:w="80" w:type="dxa"/>
            <w:vAlign w:val="bottom"/>
          </w:tcPr>
          <w:p>
            <w:pPr>
              <w:spacing w:after="0"/>
              <w:rPr>
                <w:sz w:val="15"/>
                <w:szCs w:val="15"/>
                <w:color w:val="auto"/>
              </w:rPr>
            </w:pPr>
          </w:p>
        </w:tc>
        <w:tc>
          <w:tcPr>
            <w:tcW w:w="1240" w:type="dxa"/>
            <w:vAlign w:val="bottom"/>
            <w:gridSpan w:val="3"/>
          </w:tcPr>
          <w:p>
            <w:pPr>
              <w:ind w:left="220"/>
              <w:spacing w:after="0"/>
              <w:rPr>
                <w:sz w:val="20"/>
                <w:szCs w:val="20"/>
                <w:color w:val="auto"/>
              </w:rPr>
            </w:pPr>
            <w:r>
              <w:rPr>
                <w:rFonts w:ascii="Arial" w:cs="Arial" w:eastAsia="Arial" w:hAnsi="Arial"/>
                <w:sz w:val="15"/>
                <w:szCs w:val="15"/>
                <w:b w:val="1"/>
                <w:bCs w:val="1"/>
                <w:color w:val="auto"/>
                <w:w w:val="90"/>
              </w:rPr>
              <w:t>Common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5"/>
                <w:szCs w:val="15"/>
                <w:b w:val="1"/>
                <w:bCs w:val="1"/>
                <w:color w:val="auto"/>
              </w:rPr>
              <w:t>Treasury</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Paid in</w:t>
            </w:r>
          </w:p>
        </w:tc>
        <w:tc>
          <w:tcPr>
            <w:tcW w:w="1080" w:type="dxa"/>
            <w:vAlign w:val="bottom"/>
            <w:gridSpan w:val="3"/>
          </w:tcPr>
          <w:p>
            <w:pPr>
              <w:ind w:left="20"/>
              <w:spacing w:after="0"/>
              <w:rPr>
                <w:sz w:val="20"/>
                <w:szCs w:val="20"/>
                <w:color w:val="auto"/>
              </w:rPr>
            </w:pPr>
            <w:r>
              <w:rPr>
                <w:rFonts w:ascii="Arial" w:cs="Arial" w:eastAsia="Arial" w:hAnsi="Arial"/>
                <w:sz w:val="15"/>
                <w:szCs w:val="15"/>
                <w:b w:val="1"/>
                <w:bCs w:val="1"/>
                <w:color w:val="auto"/>
              </w:rPr>
              <w:t>Accumulated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60" w:type="dxa"/>
            <w:vAlign w:val="bottom"/>
            <w:vMerge w:val="restart"/>
          </w:tcPr>
          <w:p>
            <w:pPr>
              <w:spacing w:after="0"/>
              <w:rPr>
                <w:sz w:val="20"/>
                <w:szCs w:val="20"/>
                <w:color w:val="auto"/>
              </w:rPr>
            </w:pPr>
            <w:r>
              <w:rPr>
                <w:rFonts w:ascii="Arial" w:cs="Arial" w:eastAsia="Arial" w:hAnsi="Arial"/>
                <w:sz w:val="15"/>
                <w:szCs w:val="15"/>
                <w:b w:val="1"/>
                <w:bCs w:val="1"/>
                <w:color w:val="auto"/>
              </w:rPr>
              <w:t>Balance at December 31, 2017</w:t>
            </w:r>
          </w:p>
        </w:tc>
        <w:tc>
          <w:tcPr>
            <w:tcW w:w="960" w:type="dxa"/>
            <w:vAlign w:val="bottom"/>
            <w:tcBorders>
              <w:top w:val="single" w:sz="8" w:color="auto"/>
            </w:tcBorders>
            <w:gridSpan w:val="2"/>
          </w:tcPr>
          <w:p>
            <w:pPr>
              <w:ind w:left="180"/>
              <w:spacing w:after="0" w:line="156" w:lineRule="exact"/>
              <w:rPr>
                <w:sz w:val="20"/>
                <w:szCs w:val="20"/>
                <w:color w:val="auto"/>
              </w:rPr>
            </w:pPr>
            <w:r>
              <w:rPr>
                <w:rFonts w:ascii="Arial" w:cs="Arial" w:eastAsia="Arial" w:hAnsi="Arial"/>
                <w:sz w:val="15"/>
                <w:szCs w:val="15"/>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91"/>
              </w:rPr>
              <w:t>Amount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56" w:lineRule="exact"/>
              <w:rPr>
                <w:sz w:val="20"/>
                <w:szCs w:val="20"/>
                <w:color w:val="auto"/>
              </w:rPr>
            </w:pPr>
            <w:r>
              <w:rPr>
                <w:rFonts w:ascii="Arial" w:cs="Arial" w:eastAsia="Arial" w:hAnsi="Arial"/>
                <w:sz w:val="15"/>
                <w:szCs w:val="15"/>
                <w:b w:val="1"/>
                <w:bCs w:val="1"/>
                <w:color w:val="auto"/>
              </w:rPr>
              <w:t>Shares</w:t>
            </w:r>
          </w:p>
        </w:tc>
        <w:tc>
          <w:tcPr>
            <w:tcW w:w="56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5"/>
                <w:szCs w:val="15"/>
                <w:b w:val="1"/>
                <w:bCs w:val="1"/>
                <w:color w:val="auto"/>
                <w:w w:val="91"/>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56" w:lineRule="exact"/>
              <w:rPr>
                <w:sz w:val="20"/>
                <w:szCs w:val="20"/>
                <w:color w:val="auto"/>
              </w:rPr>
            </w:pPr>
            <w:r>
              <w:rPr>
                <w:rFonts w:ascii="Arial" w:cs="Arial" w:eastAsia="Arial" w:hAnsi="Arial"/>
                <w:sz w:val="15"/>
                <w:szCs w:val="15"/>
                <w:b w:val="1"/>
                <w:bCs w:val="1"/>
                <w:color w:val="auto"/>
              </w:rPr>
              <w:t>Stock</w:t>
            </w:r>
          </w:p>
        </w:tc>
        <w:tc>
          <w:tcPr>
            <w:tcW w:w="100" w:type="dxa"/>
            <w:vAlign w:val="bottom"/>
          </w:tcPr>
          <w:p>
            <w:pPr>
              <w:spacing w:after="0"/>
              <w:rPr>
                <w:sz w:val="13"/>
                <w:szCs w:val="13"/>
                <w:color w:val="auto"/>
              </w:rPr>
            </w:pPr>
          </w:p>
        </w:tc>
        <w:tc>
          <w:tcPr>
            <w:tcW w:w="780" w:type="dxa"/>
            <w:vAlign w:val="bottom"/>
            <w:gridSpan w:val="2"/>
          </w:tcPr>
          <w:p>
            <w:pPr>
              <w:ind w:left="20"/>
              <w:spacing w:after="0" w:line="156" w:lineRule="exact"/>
              <w:rPr>
                <w:sz w:val="20"/>
                <w:szCs w:val="20"/>
                <w:color w:val="auto"/>
              </w:rPr>
            </w:pPr>
            <w:r>
              <w:rPr>
                <w:rFonts w:ascii="Arial" w:cs="Arial" w:eastAsia="Arial" w:hAnsi="Arial"/>
                <w:sz w:val="15"/>
                <w:szCs w:val="15"/>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Deficit</w:t>
            </w: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w w:val="95"/>
              </w:rPr>
              <w:t>66,630,284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w w:val="99"/>
              </w:rPr>
              <w:t>108,312</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5,690,083</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6,933</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(104,556)</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rPr>
              <w:t>(97,622)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Repurchase of convertible preferred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stock</w:t>
            </w:r>
          </w:p>
        </w:tc>
        <w:tc>
          <w:tcPr>
            <w:tcW w:w="9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(1,202,196)</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00"/>
              <w:spacing w:after="0" w:line="162" w:lineRule="exact"/>
              <w:rPr>
                <w:sz w:val="20"/>
                <w:szCs w:val="20"/>
                <w:color w:val="auto"/>
              </w:rPr>
            </w:pPr>
            <w:r>
              <w:rPr>
                <w:rFonts w:ascii="Arial" w:cs="Arial" w:eastAsia="Arial" w:hAnsi="Arial"/>
                <w:sz w:val="15"/>
                <w:szCs w:val="15"/>
                <w:color w:val="auto"/>
              </w:rPr>
              <w:t>(2,075)</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(425)</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158"/>
        </w:trPr>
        <w:tc>
          <w:tcPr>
            <w:tcW w:w="2660" w:type="dxa"/>
            <w:vAlign w:val="bottom"/>
          </w:tcPr>
          <w:p>
            <w:pPr>
              <w:ind w:left="100"/>
              <w:spacing w:after="0" w:line="158" w:lineRule="exact"/>
              <w:rPr>
                <w:sz w:val="20"/>
                <w:szCs w:val="20"/>
                <w:color w:val="auto"/>
              </w:rPr>
            </w:pPr>
            <w:r>
              <w:rPr>
                <w:rFonts w:ascii="Arial" w:cs="Arial" w:eastAsia="Arial" w:hAnsi="Arial"/>
                <w:sz w:val="15"/>
                <w:szCs w:val="15"/>
                <w:color w:val="auto"/>
              </w:rPr>
              <w:t>Repurchase of common stock</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00" w:type="dxa"/>
            <w:vAlign w:val="bottom"/>
            <w:tcBorders>
              <w:right w:val="single" w:sz="8" w:color="auto"/>
            </w:tcBorders>
            <w:gridSpan w:val="2"/>
          </w:tcPr>
          <w:p>
            <w:pPr>
              <w:jc w:val="right"/>
              <w:ind w:right="140"/>
              <w:spacing w:after="0" w:line="158"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line="158" w:lineRule="exact"/>
              <w:rPr>
                <w:sz w:val="20"/>
                <w:szCs w:val="20"/>
                <w:color w:val="auto"/>
              </w:rPr>
            </w:pPr>
            <w:r>
              <w:rPr>
                <w:rFonts w:ascii="Arial" w:cs="Arial" w:eastAsia="Arial" w:hAnsi="Arial"/>
                <w:sz w:val="15"/>
                <w:szCs w:val="15"/>
                <w:color w:val="auto"/>
              </w:rPr>
              <w:t>(589,321)</w:t>
            </w:r>
          </w:p>
        </w:tc>
        <w:tc>
          <w:tcPr>
            <w:tcW w:w="340" w:type="dxa"/>
            <w:vAlign w:val="bottom"/>
          </w:tcPr>
          <w:p>
            <w:pPr>
              <w:spacing w:after="0"/>
              <w:rPr>
                <w:sz w:val="13"/>
                <w:szCs w:val="13"/>
                <w:color w:val="auto"/>
              </w:rPr>
            </w:pPr>
          </w:p>
        </w:tc>
        <w:tc>
          <w:tcPr>
            <w:tcW w:w="380" w:type="dxa"/>
            <w:vAlign w:val="bottom"/>
            <w:gridSpan w:val="2"/>
          </w:tcPr>
          <w:p>
            <w:pPr>
              <w:jc w:val="right"/>
              <w:ind w:right="220"/>
              <w:spacing w:after="0" w:line="158" w:lineRule="exact"/>
              <w:rPr>
                <w:sz w:val="20"/>
                <w:szCs w:val="20"/>
                <w:color w:val="auto"/>
              </w:rPr>
            </w:pPr>
            <w:r>
              <w:rPr>
                <w:rFonts w:ascii="Arial" w:cs="Arial" w:eastAsia="Arial" w:hAnsi="Arial"/>
                <w:sz w:val="15"/>
                <w:szCs w:val="15"/>
                <w:color w:val="auto"/>
                <w:w w:val="93"/>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5"/>
                <w:szCs w:val="15"/>
                <w:color w:val="auto"/>
              </w:rPr>
              <w:t>(884)</w:t>
            </w:r>
          </w:p>
        </w:tc>
        <w:tc>
          <w:tcPr>
            <w:tcW w:w="100" w:type="dxa"/>
            <w:vAlign w:val="bottom"/>
          </w:tcPr>
          <w:p>
            <w:pPr>
              <w:spacing w:after="0"/>
              <w:rPr>
                <w:sz w:val="13"/>
                <w:szCs w:val="13"/>
                <w:color w:val="auto"/>
              </w:rPr>
            </w:pPr>
          </w:p>
        </w:tc>
        <w:tc>
          <w:tcPr>
            <w:tcW w:w="780" w:type="dxa"/>
            <w:vAlign w:val="bottom"/>
            <w:gridSpan w:val="2"/>
          </w:tcPr>
          <w:p>
            <w:pPr>
              <w:jc w:val="right"/>
              <w:ind w:right="200"/>
              <w:spacing w:after="0" w:line="15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160"/>
              <w:spacing w:after="0" w:line="158" w:lineRule="exact"/>
              <w:rPr>
                <w:sz w:val="20"/>
                <w:szCs w:val="20"/>
                <w:color w:val="auto"/>
              </w:rPr>
            </w:pPr>
            <w:r>
              <w:rPr>
                <w:rFonts w:ascii="Arial" w:cs="Arial" w:eastAsia="Arial" w:hAnsi="Arial"/>
                <w:sz w:val="15"/>
                <w:szCs w:val="15"/>
                <w:color w:val="auto"/>
              </w:rPr>
              <w:t>(321)</w:t>
            </w:r>
          </w:p>
        </w:tc>
        <w:tc>
          <w:tcPr>
            <w:tcW w:w="640" w:type="dxa"/>
            <w:vAlign w:val="bottom"/>
            <w:gridSpan w:val="2"/>
          </w:tcPr>
          <w:p>
            <w:pPr>
              <w:jc w:val="right"/>
              <w:spacing w:after="0" w:line="158" w:lineRule="exact"/>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Non-cash contribution</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Stock option exercise</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54,645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65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Stock</w:t>
            </w:r>
            <w:r>
              <w:rPr>
                <w:rFonts w:ascii="MS PGothic" w:cs="MS PGothic" w:eastAsia="MS PGothic" w:hAnsi="MS PGothic"/>
                <w:sz w:val="15"/>
                <w:szCs w:val="15"/>
                <w:color w:val="auto"/>
              </w:rPr>
              <w:t>‑</w:t>
            </w:r>
            <w:r>
              <w:rPr>
                <w:rFonts w:ascii="Arial" w:cs="Arial" w:eastAsia="Arial" w:hAnsi="Arial"/>
                <w:sz w:val="15"/>
                <w:szCs w:val="15"/>
                <w:color w:val="auto"/>
              </w:rPr>
              <w:t>based compensation</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2,997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2,997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Impact of adoption of 2016-09</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(213)</w:t>
            </w:r>
          </w:p>
        </w:tc>
        <w:tc>
          <w:tcPr>
            <w:tcW w:w="6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66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661</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Balance at December 31, 2018</w:t>
            </w: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5"/>
              </w:rPr>
              <w:t>65,428,088</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9"/>
              </w:rPr>
              <w:t>106,237</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5,155,407</w:t>
            </w:r>
          </w:p>
        </w:tc>
        <w:tc>
          <w:tcPr>
            <w:tcW w:w="1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(884)</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10,622</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(104,854)</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87"/>
              </w:rPr>
              <w:t>$ (95,115)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Repurchase of Common Stock</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(26,659)</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(125)</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(60)</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Stock option exercise</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6,490,059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6,536</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5,061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5,061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Conversion of Convertible Preferred</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Stock to Common Stock upon initial</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public offering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(65,428,088)</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0"/>
              </w:rPr>
              <w:t>(106,237)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65,428,088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106,230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00"/>
              <w:spacing w:after="0" w:line="149" w:lineRule="exact"/>
              <w:rPr>
                <w:sz w:val="20"/>
                <w:szCs w:val="20"/>
                <w:color w:val="auto"/>
              </w:rPr>
            </w:pPr>
            <w:r>
              <w:rPr>
                <w:rFonts w:ascii="Arial" w:cs="Arial" w:eastAsia="Arial" w:hAnsi="Arial"/>
                <w:sz w:val="15"/>
                <w:szCs w:val="15"/>
                <w:color w:val="auto"/>
              </w:rPr>
              <w:t>Conversion of convertible Preferred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Stock Warrants to common stock</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100"/>
              <w:spacing w:after="0"/>
              <w:rPr>
                <w:sz w:val="20"/>
                <w:szCs w:val="20"/>
                <w:color w:val="auto"/>
              </w:rPr>
            </w:pPr>
            <w:r>
              <w:rPr>
                <w:rFonts w:ascii="Arial" w:cs="Arial" w:eastAsia="Arial" w:hAnsi="Arial"/>
                <w:sz w:val="15"/>
                <w:szCs w:val="15"/>
                <w:color w:val="auto"/>
              </w:rPr>
              <w:t>warrants upon initial public offering</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22,765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22,765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Warrant exercise</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441,307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00"/>
              <w:spacing w:after="0" w:line="149" w:lineRule="exact"/>
              <w:rPr>
                <w:sz w:val="20"/>
                <w:szCs w:val="20"/>
                <w:color w:val="auto"/>
              </w:rPr>
            </w:pPr>
            <w:r>
              <w:rPr>
                <w:rFonts w:ascii="Arial" w:cs="Arial" w:eastAsia="Arial" w:hAnsi="Arial"/>
                <w:sz w:val="15"/>
                <w:szCs w:val="15"/>
                <w:color w:val="auto"/>
              </w:rPr>
              <w:t>Issuance of Common Stock in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connection with initial public offering,</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00"/>
              <w:spacing w:after="0" w:line="162" w:lineRule="exact"/>
              <w:rPr>
                <w:sz w:val="20"/>
                <w:szCs w:val="20"/>
                <w:color w:val="auto"/>
              </w:rPr>
            </w:pPr>
            <w:r>
              <w:rPr>
                <w:rFonts w:ascii="Arial" w:cs="Arial" w:eastAsia="Arial" w:hAnsi="Arial"/>
                <w:sz w:val="15"/>
                <w:szCs w:val="15"/>
                <w:color w:val="auto"/>
              </w:rPr>
              <w:t>net of issuance costs of $5.9 million</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0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100"/>
              <w:spacing w:after="0"/>
              <w:rPr>
                <w:sz w:val="20"/>
                <w:szCs w:val="20"/>
                <w:color w:val="auto"/>
              </w:rPr>
            </w:pPr>
            <w:r>
              <w:rPr>
                <w:rFonts w:ascii="Arial" w:cs="Arial" w:eastAsia="Arial" w:hAnsi="Arial"/>
                <w:sz w:val="15"/>
                <w:szCs w:val="15"/>
                <w:color w:val="auto"/>
              </w:rPr>
              <w:t>and $3.7 million in offering costs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6,700,000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77,479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77,479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(8,569)</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line="156" w:lineRule="exact"/>
              <w:rPr>
                <w:sz w:val="20"/>
                <w:szCs w:val="20"/>
                <w:color w:val="auto"/>
              </w:rPr>
            </w:pPr>
            <w:r>
              <w:rPr>
                <w:rFonts w:ascii="Arial" w:cs="Arial" w:eastAsia="Arial" w:hAnsi="Arial"/>
                <w:sz w:val="15"/>
                <w:szCs w:val="15"/>
                <w:b w:val="1"/>
                <w:bCs w:val="1"/>
                <w:color w:val="auto"/>
              </w:rPr>
              <w:t>Balance at December 31, 2019</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90"/>
              </w:rPr>
              <w:t>84,188,202</w:t>
            </w:r>
          </w:p>
        </w:tc>
        <w:tc>
          <w:tcPr>
            <w:tcW w:w="1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(1,009)</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w w:val="95"/>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228,755</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b w:val="1"/>
                <w:bCs w:val="1"/>
                <w:color w:val="auto"/>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(113,483)</w:t>
            </w: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114,271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60"/>
          </w:cols>
          <w:pgMar w:left="1220" w:top="125" w:right="1219"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wp:posOffset>
            </wp:positionV>
            <wp:extent cx="18942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r>
      <w:tr>
        <w:trPr>
          <w:trHeight w:val="142"/>
        </w:trPr>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(8,569)</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1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(12,452)</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Income from discontinued operations, net of income tax</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(5,777)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w w:val="97"/>
              </w:rPr>
              <w:t>Adjustments to reconcile net (loss) income to net cash provided by (used in) operating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tax expense (benefit)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8"/>
        </w:trPr>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Loss on debt extinguishment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r>
      <w:tr>
        <w:trPr>
          <w:trHeight w:val="148"/>
        </w:trPr>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1,559</w:t>
            </w: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Bad debt expense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r>
      <w:tr>
        <w:trPr>
          <w:trHeight w:val="148"/>
        </w:trPr>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8"/>
        </w:trPr>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debt discount and debt issuance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r>
      <w:tr>
        <w:trPr>
          <w:trHeight w:val="149"/>
        </w:trPr>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18,176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714</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8"/>
        </w:trPr>
        <w:tc>
          <w:tcPr>
            <w:tcW w:w="58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(12,776)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(2,044)</w:t>
            </w:r>
          </w:p>
        </w:tc>
      </w:tr>
      <w:tr>
        <w:trPr>
          <w:trHeight w:val="148"/>
        </w:trPr>
        <w:tc>
          <w:tcPr>
            <w:tcW w:w="5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current other assets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r>
      <w:tr>
        <w:trPr>
          <w:trHeight w:val="148"/>
        </w:trPr>
        <w:tc>
          <w:tcPr>
            <w:tcW w:w="5800" w:type="dxa"/>
            <w:vAlign w:val="bottom"/>
          </w:tcPr>
          <w:p>
            <w:pPr>
              <w:ind w:left="22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r>
      <w:tr>
        <w:trPr>
          <w:trHeight w:val="149"/>
        </w:trPr>
        <w:tc>
          <w:tcPr>
            <w:tcW w:w="5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r>
      <w:tr>
        <w:trPr>
          <w:trHeight w:val="148"/>
        </w:trPr>
        <w:tc>
          <w:tcPr>
            <w:tcW w:w="58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6,385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2,005</w:t>
            </w:r>
          </w:p>
        </w:tc>
      </w:tr>
      <w:tr>
        <w:trPr>
          <w:trHeight w:val="142"/>
        </w:trPr>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continuing operations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2,272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(9,419)</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discontinued operations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r>
      <w:tr>
        <w:trPr>
          <w:trHeight w:val="142"/>
        </w:trPr>
        <w:tc>
          <w:tcPr>
            <w:tcW w:w="580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2,272</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(9,474)</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net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(579)</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r>
      <w:tr>
        <w:trPr>
          <w:trHeight w:val="142"/>
        </w:trPr>
        <w:tc>
          <w:tcPr>
            <w:tcW w:w="5800" w:type="dxa"/>
            <w:vAlign w:val="bottom"/>
          </w:tcPr>
          <w:p>
            <w:pPr>
              <w:spacing w:after="0" w:line="142" w:lineRule="exact"/>
              <w:rPr>
                <w:sz w:val="20"/>
                <w:szCs w:val="20"/>
                <w:color w:val="auto"/>
              </w:rPr>
            </w:pPr>
            <w:r>
              <w:rPr>
                <w:rFonts w:ascii="Arial" w:cs="Arial" w:eastAsia="Arial" w:hAnsi="Arial"/>
                <w:sz w:val="14"/>
                <w:szCs w:val="14"/>
                <w:color w:val="auto"/>
              </w:rPr>
              <w:t>Net cash provided by (used in) continuing operations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(579)</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(612)</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discontinued operations</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2,481</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5800" w:type="dxa"/>
            <w:vAlign w:val="bottom"/>
          </w:tcPr>
          <w:p>
            <w:pPr>
              <w:ind w:left="2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(2,756)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1,902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(612)</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0"/>
        </w:trPr>
        <w:tc>
          <w:tcPr>
            <w:tcW w:w="5800" w:type="dxa"/>
            <w:vAlign w:val="bottom"/>
          </w:tcPr>
          <w:p>
            <w:pPr>
              <w:spacing w:after="0" w:line="130" w:lineRule="exact"/>
              <w:rPr>
                <w:sz w:val="20"/>
                <w:szCs w:val="20"/>
                <w:color w:val="auto"/>
              </w:rPr>
            </w:pPr>
            <w:r>
              <w:rPr>
                <w:rFonts w:ascii="Arial" w:cs="Arial" w:eastAsia="Arial" w:hAnsi="Arial"/>
                <w:sz w:val="14"/>
                <w:szCs w:val="14"/>
                <w:color w:val="auto"/>
                <w:w w:val="96"/>
              </w:rPr>
              <w:t>Proceeds from issuance of common stock upon initial public offering, net of issuance and offering</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78,385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term loan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(5,351)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r>
      <w:tr>
        <w:trPr>
          <w:trHeight w:val="149"/>
        </w:trPr>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revolving line of credit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64,421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made against revolving line of credit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(182,278)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(64,168)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800" w:type="dxa"/>
            <w:vAlign w:val="bottom"/>
          </w:tcPr>
          <w:p>
            <w:pPr>
              <w:spacing w:after="0" w:line="149" w:lineRule="exact"/>
              <w:rPr>
                <w:sz w:val="20"/>
                <w:szCs w:val="20"/>
                <w:color w:val="auto"/>
              </w:rPr>
            </w:pPr>
            <w:r>
              <w:rPr>
                <w:rFonts w:ascii="Arial" w:cs="Arial" w:eastAsia="Arial" w:hAnsi="Arial"/>
                <w:sz w:val="14"/>
                <w:szCs w:val="14"/>
                <w:color w:val="auto"/>
              </w:rPr>
              <w:t>Repurchase of convertible preferred 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warrants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preferred stock and warrants, net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r>
      <w:tr>
        <w:trPr>
          <w:trHeight w:val="142"/>
        </w:trPr>
        <w:tc>
          <w:tcPr>
            <w:tcW w:w="5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continuing operations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84,545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(8,738)</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11,766</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discontinued operations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580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84,545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(8,738)</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11,766</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80,255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(4,564)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1,680</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4,691</w:t>
            </w: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3,011</w:t>
            </w:r>
          </w:p>
        </w:tc>
      </w:tr>
      <w:tr>
        <w:trPr>
          <w:trHeight w:val="149"/>
        </w:trPr>
        <w:tc>
          <w:tcPr>
            <w:tcW w:w="58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end of year</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80,382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4,691</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3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r>
      <w:tr>
        <w:trPr>
          <w:trHeight w:val="126"/>
        </w:trPr>
        <w:tc>
          <w:tcPr>
            <w:tcW w:w="58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171"/>
        </w:trPr>
        <w:tc>
          <w:tcPr>
            <w:tcW w:w="5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ACTIVITIES</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Non-cash settlement of liability</w:t>
            </w:r>
          </w:p>
        </w:tc>
        <w:tc>
          <w:tcPr>
            <w:tcW w:w="3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18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liability forgiveness related to divestiture</w:t>
            </w:r>
          </w:p>
        </w:tc>
        <w:tc>
          <w:tcPr>
            <w:tcW w:w="3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800" w:type="dxa"/>
            <w:vAlign w:val="bottom"/>
          </w:tcPr>
          <w:p>
            <w:pPr>
              <w:spacing w:after="0" w:line="149" w:lineRule="exact"/>
              <w:rPr>
                <w:sz w:val="20"/>
                <w:szCs w:val="20"/>
                <w:color w:val="auto"/>
              </w:rPr>
            </w:pPr>
            <w:r>
              <w:rPr>
                <w:rFonts w:ascii="Arial" w:cs="Arial" w:eastAsia="Arial" w:hAnsi="Arial"/>
                <w:sz w:val="14"/>
                <w:szCs w:val="14"/>
                <w:color w:val="auto"/>
              </w:rPr>
              <w:t>Non-cash preferred stock warrant conversion to common stock warrant upon IPO</w:t>
            </w:r>
          </w:p>
        </w:tc>
        <w:tc>
          <w:tcPr>
            <w:tcW w:w="3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(22,765)</w:t>
            </w:r>
          </w:p>
        </w:tc>
        <w:tc>
          <w:tcPr>
            <w:tcW w:w="2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deferred initial public offering costs in accounts payable and accrued liabilities</w:t>
            </w:r>
          </w:p>
        </w:tc>
        <w:tc>
          <w:tcPr>
            <w:tcW w:w="3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bl>
    <w:p>
      <w:pPr>
        <w:spacing w:after="0" w:line="18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40" w:right="6019" w:firstLine="4"/>
        <w:spacing w:after="0" w:line="566" w:lineRule="auto"/>
        <w:tabs>
          <w:tab w:leader="none" w:pos="35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Business and Basis of Presentation Description of Business</w:t>
      </w:r>
    </w:p>
    <w:p>
      <w:pPr>
        <w:ind w:left="40" w:right="199" w:firstLine="648"/>
        <w:spacing w:after="0" w:line="255" w:lineRule="auto"/>
        <w:rPr>
          <w:sz w:val="20"/>
          <w:szCs w:val="20"/>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 Prior to its 2015 acquisition of Fertility Authority, LLC, the Company was exclusively a medical device company in the field of reproductive medicine, translating scientific discoveries related to early embryo development into clinical tools. The Company’s product, the Early Embryo Viability Assessment Test (“Eeva”), was designed to assist clinicians and patients in assessing the likelihood of certain in vitro fertilization (“IVF”) outcomes.</w:t>
      </w:r>
    </w:p>
    <w:p>
      <w:pPr>
        <w:spacing w:after="0" w:line="192" w:lineRule="exact"/>
        <w:rPr>
          <w:sz w:val="20"/>
          <w:szCs w:val="20"/>
          <w:color w:val="auto"/>
        </w:rPr>
      </w:pPr>
    </w:p>
    <w:p>
      <w:pPr>
        <w:ind w:left="40" w:right="159" w:firstLine="648"/>
        <w:spacing w:after="0" w:line="286" w:lineRule="auto"/>
        <w:rPr>
          <w:sz w:val="20"/>
          <w:szCs w:val="20"/>
          <w:color w:val="auto"/>
        </w:rPr>
      </w:pPr>
      <w:r>
        <w:rPr>
          <w:rFonts w:ascii="Arial" w:cs="Arial" w:eastAsia="Arial" w:hAnsi="Arial"/>
          <w:sz w:val="17"/>
          <w:szCs w:val="17"/>
          <w:color w:val="auto"/>
        </w:rPr>
        <w:t>With the acquisition of Fertility Authority, LLC, in March 2015, the Company established and operated as two segments; (i) medical device and (ii) the fertility benefits solution. In January 2018, the Company executed an agreement with a related party to sell the Eeva business, representing all of the medical device segment.</w:t>
      </w:r>
    </w:p>
    <w:p>
      <w:pPr>
        <w:spacing w:after="0" w:line="165"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Subsequent to the sale of the Eeva business, Progyny is a provider of a fertility benefits solution.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66"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left="40" w:right="239" w:firstLine="648"/>
        <w:spacing w:after="0" w:line="279" w:lineRule="auto"/>
        <w:rPr>
          <w:sz w:val="20"/>
          <w:szCs w:val="20"/>
          <w:color w:val="auto"/>
        </w:rPr>
      </w:pPr>
      <w:r>
        <w:rPr>
          <w:rFonts w:ascii="Arial" w:cs="Arial" w:eastAsia="Arial" w:hAnsi="Arial"/>
          <w:sz w:val="17"/>
          <w:szCs w:val="17"/>
          <w:color w:val="auto"/>
        </w:rPr>
        <w:t>On October 14, 2019, the shareholders of Progyny approved a one-for-4.5454 reverse stock split of its common and convertible preferred stock. The par value of the common stock and convertible preferred stock was not adjusted as a result of the reverse stock split. Accordingly, the consolidated financial statements and notes retroactively reflect Progyny’s capital structure after giving effect to the reverse stock split.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40" w:right="119" w:firstLine="648"/>
        <w:spacing w:after="0" w:line="284" w:lineRule="auto"/>
        <w:rPr>
          <w:sz w:val="20"/>
          <w:szCs w:val="20"/>
          <w:color w:val="auto"/>
        </w:rPr>
      </w:pPr>
      <w:r>
        <w:rPr>
          <w:rFonts w:ascii="Arial" w:cs="Arial" w:eastAsia="Arial" w:hAnsi="Arial"/>
          <w:sz w:val="16"/>
          <w:szCs w:val="16"/>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$77.5 million from the IPO, after deducting underwriters’ discounts and commissions of $5.9 million and offering costs of $3.7 million. Offering costs were initially capitalized and consisted of fees and expenses incurred in connection with the sale of common stock in the IPO, including legal, accounting, printing and other IPO-related</w:t>
      </w:r>
    </w:p>
    <w:p>
      <w:pPr>
        <w:spacing w:after="0" w:line="2" w:lineRule="exact"/>
        <w:rPr>
          <w:sz w:val="20"/>
          <w:szCs w:val="20"/>
          <w:color w:val="auto"/>
        </w:rPr>
      </w:pPr>
    </w:p>
    <w:p>
      <w:pPr>
        <w:ind w:left="40" w:right="419"/>
        <w:spacing w:after="0" w:line="323" w:lineRule="auto"/>
        <w:rPr>
          <w:sz w:val="20"/>
          <w:szCs w:val="20"/>
          <w:color w:val="auto"/>
        </w:rPr>
      </w:pPr>
      <w:r>
        <w:rPr>
          <w:rFonts w:ascii="Arial" w:cs="Arial" w:eastAsia="Arial" w:hAnsi="Arial"/>
          <w:sz w:val="16"/>
          <w:szCs w:val="16"/>
          <w:color w:val="auto"/>
        </w:rPr>
        <w:t>costs. Upon completion of the IPO, these offering costs were reclassified to stockholders’ equity and offset against the proceeds from the offering on the balance sheet. Immediately prior to the completion of the IPO, all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40" w:right="59" w:firstLine="648"/>
        <w:spacing w:after="0" w:line="311"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49"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 Company’s consolidated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The Company will remain an emerging growth company until the earliest of (1) December 31, 2024; (2) the last day of the Company’s first fiscal year in which the Company has total annual gross revenue of at least $1.07 billion; (3) the date on which the Company has issued more than $1.0 billion in non-convertible debt securities during the prior three-year period; and (4) the last day of the Company’s first fiscal year in which the market value of the Company’s common stock that is held by non-affiliates exceeds $700.0 million as of the prior June 30th.</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accompanying consolidated financial statements include those of the Company and its wholly owned subsidiary, Fertility Authority LLC. Effective June 2018, the Company legally dissolved the Fertility Authority LLC legal entity.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Following the divestiture of Eeva, the Company operates and manages in one operating segment, providing fertility and pharmacy benefits solutions. The Company defines its CODM as its Chief Executive Officer and its President, Chief Financial and Operating Officer. All long-lived assets are located in the United States and all revenue is attributed to the United States. Since the Company operates in one operating segment, all required financial segment information can be found in the consolidated financial statements.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139"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Specific accounts that require management estimates include accrued receivables, accrued claims payable, allowance for doubtful accounts, accrued rebates, convertible preferred stock warrant liabilities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5419" w:firstLine="4"/>
        <w:spacing w:after="0" w:line="503" w:lineRule="auto"/>
        <w:tabs>
          <w:tab w:leader="none" w:pos="2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40" w:right="79" w:firstLine="648"/>
        <w:spacing w:after="0" w:line="286" w:lineRule="auto"/>
        <w:rPr>
          <w:sz w:val="20"/>
          <w:szCs w:val="20"/>
          <w:color w:val="auto"/>
        </w:rPr>
      </w:pPr>
      <w:r>
        <w:rPr>
          <w:rFonts w:ascii="Arial" w:cs="Arial" w:eastAsia="Arial" w:hAnsi="Arial"/>
          <w:sz w:val="17"/>
          <w:szCs w:val="17"/>
          <w:color w:val="auto"/>
        </w:rPr>
        <w:t>Cash and cash equivalents are stated at fair value. The Company considers all highly liquid investments purchased with original maturities of three months or less at the time of purchase to be cash equivalents. Cash and cash equivalents consist of cash, bank deposits, and treasury bills, as of December 31, 2019 and 2018.</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40" w:right="259" w:firstLine="648"/>
        <w:spacing w:after="0" w:line="342" w:lineRule="auto"/>
        <w:rPr>
          <w:sz w:val="20"/>
          <w:szCs w:val="20"/>
          <w:color w:val="auto"/>
        </w:rPr>
      </w:pPr>
      <w:r>
        <w:rPr>
          <w:rFonts w:ascii="Arial" w:cs="Arial" w:eastAsia="Arial" w:hAnsi="Arial"/>
          <w:sz w:val="16"/>
          <w:szCs w:val="16"/>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sz w:val="20"/>
          <w:szCs w:val="20"/>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20" w:hanging="32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117"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68"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result, the fixed rate per Smart Cycle is included in the transaction price and recognized in the period in which the Smart Cycle is provided to the member.</w:t>
      </w:r>
    </w:p>
    <w:p>
      <w:pPr>
        <w:spacing w:after="0" w:line="170"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78" w:lineRule="exact"/>
        <w:rPr>
          <w:sz w:val="20"/>
          <w:szCs w:val="20"/>
          <w:color w:val="auto"/>
        </w:rPr>
      </w:pPr>
    </w:p>
    <w:p>
      <w:pPr>
        <w:ind w:left="40" w:right="199" w:firstLine="648"/>
        <w:spacing w:after="0" w:line="311" w:lineRule="auto"/>
        <w:rPr>
          <w:sz w:val="20"/>
          <w:szCs w:val="20"/>
          <w:color w:val="auto"/>
        </w:rPr>
      </w:pPr>
      <w:r>
        <w:rPr>
          <w:rFonts w:ascii="Arial" w:cs="Arial" w:eastAsia="Arial" w:hAnsi="Arial"/>
          <w:sz w:val="16"/>
          <w:szCs w:val="16"/>
          <w:color w:val="auto"/>
        </w:rPr>
        <w:t>Clients are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49"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ind w:left="40" w:right="319" w:firstLine="648"/>
        <w:spacing w:after="0" w:line="273" w:lineRule="auto"/>
        <w:rPr>
          <w:sz w:val="20"/>
          <w:szCs w:val="20"/>
          <w:color w:val="auto"/>
        </w:rPr>
      </w:pPr>
      <w:r>
        <w:rPr>
          <w:rFonts w:ascii="Arial" w:cs="Arial" w:eastAsia="Arial" w:hAnsi="Arial"/>
          <w:sz w:val="17"/>
          <w:szCs w:val="17"/>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78"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1" w:lineRule="exact"/>
        <w:rPr>
          <w:sz w:val="20"/>
          <w:szCs w:val="20"/>
          <w:color w:val="auto"/>
        </w:rPr>
      </w:pPr>
    </w:p>
    <w:p>
      <w:pPr>
        <w:ind w:left="40" w:right="299" w:firstLine="648"/>
        <w:spacing w:after="0" w:line="311" w:lineRule="auto"/>
        <w:rPr>
          <w:sz w:val="20"/>
          <w:szCs w:val="20"/>
          <w:color w:val="auto"/>
        </w:rPr>
      </w:pPr>
      <w:r>
        <w:rPr>
          <w:rFonts w:ascii="Arial" w:cs="Arial" w:eastAsia="Arial" w:hAnsi="Arial"/>
          <w:sz w:val="16"/>
          <w:szCs w:val="16"/>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39" w:firstLine="648"/>
        <w:spacing w:after="0" w:line="287"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w:t>
      </w:r>
    </w:p>
    <w:p>
      <w:pPr>
        <w:spacing w:after="0" w:line="2" w:lineRule="exact"/>
        <w:rPr>
          <w:sz w:val="20"/>
          <w:szCs w:val="20"/>
          <w:color w:val="auto"/>
        </w:rPr>
      </w:pPr>
    </w:p>
    <w:p>
      <w:pPr>
        <w:ind w:left="40" w:right="79"/>
        <w:spacing w:after="0" w:line="252" w:lineRule="auto"/>
        <w:rPr>
          <w:sz w:val="20"/>
          <w:szCs w:val="20"/>
          <w:color w:val="auto"/>
        </w:rPr>
      </w:pPr>
      <w:r>
        <w:rPr>
          <w:rFonts w:ascii="Arial" w:cs="Arial" w:eastAsia="Arial" w:hAnsi="Arial"/>
          <w:sz w:val="18"/>
          <w:szCs w:val="18"/>
          <w:color w:val="auto"/>
        </w:rPr>
        <w:t>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left="40" w:right="239" w:firstLine="648"/>
        <w:spacing w:after="0" w:line="311" w:lineRule="auto"/>
        <w:rPr>
          <w:sz w:val="20"/>
          <w:szCs w:val="20"/>
          <w:color w:val="auto"/>
        </w:rPr>
      </w:pPr>
      <w:r>
        <w:rPr>
          <w:rFonts w:ascii="Arial" w:cs="Arial" w:eastAsia="Arial" w:hAnsi="Arial"/>
          <w:sz w:val="16"/>
          <w:szCs w:val="16"/>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Accrued Receivable and Accrued Claims Payable</w:t>
      </w:r>
    </w:p>
    <w:p>
      <w:pPr>
        <w:spacing w:after="0" w:line="229" w:lineRule="exact"/>
        <w:rPr>
          <w:sz w:val="20"/>
          <w:szCs w:val="20"/>
          <w:color w:val="auto"/>
        </w:rPr>
      </w:pPr>
    </w:p>
    <w:p>
      <w:pPr>
        <w:ind w:left="40" w:right="239" w:firstLine="648"/>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8"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As of December 31, 2019, accrued receivables and accrued claims payables were $16.0 million, and $9.8 million, respectively as compared to $9.5 million, and $6.7 million, respectively, as of December 31, 2018. Accrued receivables are included within accounts receivable in the consolidated balance sheet. Accrued claims payable are included within accrued expenses and other current liabilities in the consolidated balance sheet. Claims payable are paid within 30 days based on contractual terms.</w:t>
      </w:r>
    </w:p>
    <w:p>
      <w:pPr>
        <w:spacing w:after="0" w:line="188" w:lineRule="exact"/>
        <w:rPr>
          <w:sz w:val="20"/>
          <w:szCs w:val="20"/>
          <w:color w:val="auto"/>
        </w:rPr>
      </w:pPr>
    </w:p>
    <w:p>
      <w:pPr>
        <w:ind w:left="40" w:right="379" w:firstLine="648"/>
        <w:spacing w:after="0" w:line="301" w:lineRule="auto"/>
        <w:rPr>
          <w:sz w:val="20"/>
          <w:szCs w:val="20"/>
          <w:color w:val="auto"/>
        </w:rPr>
      </w:pPr>
      <w:r>
        <w:rPr>
          <w:rFonts w:ascii="Arial" w:cs="Arial" w:eastAsia="Arial" w:hAnsi="Arial"/>
          <w:sz w:val="16"/>
          <w:szCs w:val="16"/>
          <w:color w:val="auto"/>
        </w:rPr>
        <w:t>As of December 31, 2019 and December 31, 2018, unbilled receivables, which represent claims received and approved but unbilled at the end of the reporting period, were $8.5 million and $3.6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left="40" w:right="199" w:firstLine="648"/>
        <w:spacing w:after="0" w:line="296" w:lineRule="auto"/>
        <w:rPr>
          <w:sz w:val="20"/>
          <w:szCs w:val="20"/>
          <w:color w:val="auto"/>
        </w:rPr>
      </w:pPr>
      <w:r>
        <w:rPr>
          <w:rFonts w:ascii="Arial" w:cs="Arial" w:eastAsia="Arial" w:hAnsi="Arial"/>
          <w:sz w:val="16"/>
          <w:szCs w:val="16"/>
          <w:color w:val="auto"/>
        </w:rPr>
        <w:t>The accounts receivable balance primarily includes amounts due from clients and members. Accounts receivable also includes certain accrued receivables for fertility benefits claims from provider clinics at the end of each period for services provided that have not yet been received. The Company estimates an allowance for changes and cancellations of services based upon historical experience and estimates member uncollectible amounts based upon historical bad debts, current member receivable balances and the age of member receivable balances.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Years Ended December 31, 2019 and 2018</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Balance at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140" w:type="dxa"/>
            <w:vAlign w:val="bottom"/>
          </w:tcPr>
          <w:p>
            <w:pPr>
              <w:spacing w:after="0"/>
              <w:rPr>
                <w:sz w:val="10"/>
                <w:szCs w:val="10"/>
                <w:color w:val="auto"/>
              </w:rPr>
            </w:pPr>
          </w:p>
        </w:tc>
        <w:tc>
          <w:tcPr>
            <w:tcW w:w="7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Charged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92"/>
              </w:rPr>
              <w:t>to Costs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Write-offs</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Utilization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of Period</w:t>
            </w:r>
          </w:p>
        </w:tc>
        <w:tc>
          <w:tcPr>
            <w:tcW w:w="22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to Revenue</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and Expenses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Allowance for doubtful accounts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02"/>
        </w:trPr>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w w:val="90"/>
              </w:rPr>
              <w:t>Allowance for service changes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cancellations</w:t>
            </w:r>
            <w:r>
              <w:rPr>
                <w:rFonts w:ascii="Arial" w:cs="Arial" w:eastAsia="Arial" w:hAnsi="Arial"/>
                <w:sz w:val="8"/>
                <w:szCs w:val="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7"/>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gridSpan w:val="2"/>
          </w:tcPr>
          <w:p>
            <w:pPr>
              <w:spacing w:after="0"/>
              <w:rPr>
                <w:sz w:val="20"/>
                <w:szCs w:val="20"/>
                <w:color w:val="auto"/>
              </w:rPr>
            </w:pPr>
            <w:r>
              <w:rPr>
                <w:rFonts w:ascii="Arial" w:cs="Arial" w:eastAsia="Arial" w:hAnsi="Arial"/>
                <w:sz w:val="18"/>
                <w:szCs w:val="18"/>
                <w:color w:val="auto"/>
                <w:w w:val="99"/>
              </w:rPr>
              <w:t>Allowance for doubtful accounts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Allowance for service changes and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cancellations</w:t>
            </w:r>
            <w:r>
              <w:rPr>
                <w:rFonts w:ascii="Arial" w:cs="Arial" w:eastAsia="Arial" w:hAnsi="Arial"/>
                <w:sz w:val="8"/>
                <w:szCs w:val="8"/>
                <w:color w:val="auto"/>
              </w:rPr>
              <w:t>(1)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619" w:hanging="316"/>
        <w:spacing w:after="0" w:line="277"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allowance released as a result of the cancellation or adjustment to an authorized fertility benefits service treatment.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Cost of Services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ind w:left="40" w:right="279" w:firstLine="648"/>
        <w:spacing w:after="0" w:line="296"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related information technology support costs. Our contracts with provider clinics are typically for a term of one to two years.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ind w:left="40" w:right="31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 of Credit Risk and Off-Balance-Sheet Risk</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consists primarily of cash and cash equivalents and accounts receivable.</w:t>
      </w:r>
    </w:p>
    <w:p>
      <w:pPr>
        <w:spacing w:after="0" w:line="170"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The Company invests its cash and cash equivalents with highly rated financial institutions and management believes that the financial risks associated with its cash equivalents are minimal. Substantially all of the Company’s cash is maintained with one financial institution with a high credit standing. From time to time, such deposits may exceed federally insured limits.</w:t>
      </w:r>
    </w:p>
    <w:p>
      <w:pPr>
        <w:spacing w:after="0" w:line="187" w:lineRule="exact"/>
        <w:rPr>
          <w:sz w:val="20"/>
          <w:szCs w:val="20"/>
          <w:color w:val="auto"/>
        </w:rPr>
      </w:pPr>
    </w:p>
    <w:p>
      <w:pPr>
        <w:ind w:left="40" w:right="299" w:firstLine="648"/>
        <w:spacing w:after="0" w:line="257" w:lineRule="auto"/>
        <w:rPr>
          <w:sz w:val="20"/>
          <w:szCs w:val="20"/>
          <w:color w:val="auto"/>
        </w:rPr>
      </w:pPr>
      <w:r>
        <w:rPr>
          <w:rFonts w:ascii="Arial" w:cs="Arial" w:eastAsia="Arial" w:hAnsi="Arial"/>
          <w:sz w:val="18"/>
          <w:szCs w:val="18"/>
          <w:color w:val="auto"/>
        </w:rPr>
        <w:t>The Company regularly reviews the outstanding accounts receivable, including consideration of factors such as the age of the receivable balance. Two customers accounted for 17% and 14% each, or 31% total receivables as of December 31, 2019. Three customers accounted for 25%, 13% and 10% each, or 48% of total accounts receivables as of December 31, 2018. To manage credit risk related to accounts receivable, the Company evaluates client’s financial condition and collateral is generally not required.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2019 and 2018.</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40" w:right="359" w:firstLine="648"/>
        <w:spacing w:after="0" w:line="279" w:lineRule="auto"/>
        <w:rPr>
          <w:sz w:val="20"/>
          <w:szCs w:val="20"/>
          <w:color w:val="auto"/>
        </w:rPr>
      </w:pPr>
      <w:r>
        <w:rPr>
          <w:rFonts w:ascii="Arial" w:cs="Arial" w:eastAsia="Arial" w:hAnsi="Arial"/>
          <w:sz w:val="17"/>
          <w:szCs w:val="17"/>
          <w:color w:val="auto"/>
        </w:rPr>
        <w:t>Property and equipment consist of computer equipment, machinery and equipment, furniture and fixtures, and leasehold improvements. The assets are stated at cost less accumulated depreciation and amortization. Depreciation is calculated using the straight-line method based on estimated useful lives and in the case of leasehold improvements, the shorter of the useful life or the remaining term of the lease (see Note 5).</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40" w:right="239" w:firstLine="648"/>
        <w:spacing w:after="0" w:line="255" w:lineRule="auto"/>
        <w:rPr>
          <w:sz w:val="20"/>
          <w:szCs w:val="20"/>
          <w:color w:val="auto"/>
        </w:rPr>
      </w:pPr>
      <w:r>
        <w:rPr>
          <w:rFonts w:ascii="Arial" w:cs="Arial" w:eastAsia="Arial" w:hAnsi="Arial"/>
          <w:sz w:val="18"/>
          <w:szCs w:val="18"/>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92" w:lineRule="exact"/>
        <w:rPr>
          <w:sz w:val="20"/>
          <w:szCs w:val="20"/>
          <w:color w:val="auto"/>
        </w:rPr>
      </w:pPr>
    </w:p>
    <w:p>
      <w:pPr>
        <w:ind w:left="40" w:right="179" w:firstLine="648"/>
        <w:spacing w:after="0" w:line="287" w:lineRule="auto"/>
        <w:rPr>
          <w:sz w:val="20"/>
          <w:szCs w:val="20"/>
          <w:color w:val="auto"/>
        </w:rPr>
      </w:pPr>
      <w:r>
        <w:rPr>
          <w:rFonts w:ascii="Arial" w:cs="Arial" w:eastAsia="Arial" w:hAnsi="Arial"/>
          <w:sz w:val="16"/>
          <w:szCs w:val="16"/>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59" w:firstLine="648"/>
        <w:spacing w:after="0" w:line="259" w:lineRule="auto"/>
        <w:rPr>
          <w:sz w:val="20"/>
          <w:szCs w:val="20"/>
          <w:color w:val="auto"/>
        </w:rPr>
      </w:pPr>
      <w:r>
        <w:rPr>
          <w:rFonts w:ascii="Arial" w:cs="Arial" w:eastAsia="Arial" w:hAnsi="Arial"/>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87"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The Company tests for goodwill impairment on each of its one reporting unit, which is at the operating segment or one level below the operating segment. This analysis requires us to make a series of critical assumptions to (1) evaluate whether any impairment exists and (2) measure the amount of impairment. There was no impairment of goodwill or intangible assets for the years ended December 31, 2019, 2018, and 2017.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Convertible Preferred Stock Warrants</w:t>
      </w:r>
    </w:p>
    <w:p>
      <w:pPr>
        <w:spacing w:after="0" w:line="229"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color w:val="auto"/>
        </w:rPr>
        <w:t>Freestanding warrants to purchase the Company’s convertible preferred stock are classified as liabilities on the accompanying consolidated balance sheets. The convertible preferred stock warrants are recorded as liabilities because the underlying shares of convertible preferred stock are contingently redeemable, upon a deemed liquidation event which may obligate the Company to transfer assets at some point in the future to settle these warrants. The warrants are recorded at estimated fair value and are subject to remeasurement at each balance sheet date and recorded in Other Income (expense), in the accompanying consolidated statement of operations and comprehensive (loss) income. In connection with the IPO, all convertible preferred stock warrants were converted to common stock warrants.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awards in accordance with FASB ASC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 ASC 718 requires all share-based payments, including grants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consolidated statements of operations and comprehensive income (loss) based on their respective fair values. For non-employee awards a measurement date is normally reached when performance is completed, and the fair value is remeasured as the stock options vest.</w:t>
      </w:r>
    </w:p>
    <w:p>
      <w:pPr>
        <w:spacing w:after="0" w:line="188"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The fair value of the Company’s stock options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a specified group of companies in Progyny’s industry for a period equal to the expected life of the option. Progyny selected companies with comparable characteristics to the Company,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165"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The expected life of the options granted represents the period of time that options granted are expected to be outstanding and is calculated using the simplified method, which is the mid-point between the vesting date and the end of the contractual term for each option. We have estimated the expected term of non-employee service-based and performance-based awards based on the remaining contractual term of such awards. The risk-free interest rate is based on a zero coupon, United States Treasury instrument whose term is consistent with the expected life of the stock option. The Company has not paid, and does not anticipate paying, cash dividends on its shares of common stock; therefore, the expected dividend yield is zero.</w:t>
      </w:r>
    </w:p>
    <w:p>
      <w:pPr>
        <w:spacing w:after="0" w:line="195"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 xml:space="preserve">Effective January 1, 2018, the Company adopted ASU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which in turn resulted in a change in accounting policy to account for forfeitures as they occur. Prior to January 1, 2018, forfeitures were estimated at the date of grant and revised, if necessary, in subsequent periods if actual forfeitures differed from those estimates. The adoption resulted in a transition adjustment of $213,000, recorded to Accumulated deficit.</w:t>
      </w:r>
    </w:p>
    <w:p>
      <w:pPr>
        <w:spacing w:after="0" w:line="157" w:lineRule="exact"/>
        <w:rPr>
          <w:sz w:val="20"/>
          <w:szCs w:val="20"/>
          <w:color w:val="auto"/>
        </w:rPr>
      </w:pPr>
    </w:p>
    <w:p>
      <w:pPr>
        <w:ind w:left="40" w:right="219" w:firstLine="648"/>
        <w:spacing w:after="0" w:line="342" w:lineRule="auto"/>
        <w:rPr>
          <w:sz w:val="20"/>
          <w:szCs w:val="20"/>
          <w:color w:val="auto"/>
        </w:rPr>
      </w:pPr>
      <w:r>
        <w:rPr>
          <w:rFonts w:ascii="Arial" w:cs="Arial" w:eastAsia="Arial" w:hAnsi="Arial"/>
          <w:sz w:val="16"/>
          <w:szCs w:val="16"/>
          <w:color w:val="auto"/>
        </w:rPr>
        <w:t>The Company’s share-based awards are subject to either service-based or performance-based vesting conditions. The Company recognizes compensation expense for service-based awards over the vesting period of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spacing w:after="0" w:line="342" w:lineRule="auto"/>
        <w:rPr>
          <w:sz w:val="20"/>
          <w:szCs w:val="20"/>
          <w:color w:val="auto"/>
        </w:rPr>
      </w:pPr>
      <w:r>
        <w:rPr>
          <w:rFonts w:ascii="Arial" w:cs="Arial" w:eastAsia="Arial" w:hAnsi="Arial"/>
          <w:sz w:val="16"/>
          <w:szCs w:val="16"/>
          <w:color w:val="auto"/>
        </w:rPr>
        <w:t>award on a straight-line basis. Compensation expense related to awards with performance-based vesting conditions is recognized when achievement of the performance condition is considered probable over the requisite service period.</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 Valuation</w:t>
      </w:r>
    </w:p>
    <w:p>
      <w:pPr>
        <w:spacing w:after="0" w:line="229"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Company has historically granted stock options at exercise prices equal to the fair value as determined by the Board of Directors on the date of grant. Prior to the IPO and in the absence of a public trading market, the Board of Directors, with input from management, exercised significant judgement and considered numerous objective and subjective factors to determine the fair value of the Company’s common stock as of the date of each stock option grant, including:</w:t>
      </w:r>
    </w:p>
    <w:p>
      <w:pPr>
        <w:spacing w:after="0" w:line="157" w:lineRule="exact"/>
        <w:rPr>
          <w:sz w:val="20"/>
          <w:szCs w:val="20"/>
          <w:color w:val="auto"/>
        </w:rPr>
      </w:pPr>
    </w:p>
    <w:p>
      <w:pPr>
        <w:ind w:left="1020" w:hanging="32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financial performance</w:t>
      </w:r>
    </w:p>
    <w:p>
      <w:pPr>
        <w:spacing w:after="0" w:line="117"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preferences and privileges of the convertible preferred stock relative to those of the common stock; and</w:t>
      </w:r>
    </w:p>
    <w:p>
      <w:pPr>
        <w:spacing w:after="0" w:line="62" w:lineRule="exact"/>
        <w:rPr>
          <w:rFonts w:ascii="Arial" w:cs="Arial" w:eastAsia="Arial" w:hAnsi="Arial"/>
          <w:sz w:val="18"/>
          <w:szCs w:val="18"/>
          <w:color w:val="auto"/>
        </w:rPr>
      </w:pPr>
    </w:p>
    <w:p>
      <w:pPr>
        <w:ind w:left="1020" w:right="499" w:hanging="32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financial conditions, and the trends specific to the markets in which the Company operates</w:t>
      </w:r>
    </w:p>
    <w:p>
      <w:pPr>
        <w:spacing w:after="0" w:line="62"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 xml:space="preserve">In addition, the Board of Directors considered the independent valuations completed by a third-party valuation consultant. The valuations of the Company’s common stock were determined in accordance with the guidelines outlined in the </w:t>
      </w:r>
      <w:r>
        <w:rPr>
          <w:rFonts w:ascii="Arial" w:cs="Arial" w:eastAsia="Arial" w:hAnsi="Arial"/>
          <w:sz w:val="18"/>
          <w:szCs w:val="18"/>
          <w:i w:val="1"/>
          <w:iCs w:val="1"/>
          <w:color w:val="auto"/>
        </w:rPr>
        <w:t>American Institute of Certified Public Accountants Practice Aid, 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In performing these valuations, the Board of Directors considered a variety of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and valuation methodologies in accordance with the guidelines. Following the IPO, the Board of Directors determines the fair market value for all common stock grants based on the closing market price of our common stock, on the date of grant, as reported by Nasdaq.</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The Company accounts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77"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92"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The amount of deferred tax provided is calculated using tax rates enacted at the balance sheet date. The impact of tax law changes is recognized in periods when the change is enacted.</w:t>
      </w:r>
    </w:p>
    <w:p>
      <w:pPr>
        <w:spacing w:after="0" w:line="170"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88"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The Company’s policy is to recognize interest and penalty expenses associated with uncertain tax positions as a component of income tax expense in the consolidated statements of operations and comprehensive (loss) income. As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December 31, 2019, 2018 and 2017, the Company had no accrued interest or penalties related to uncertain tax positions and no amounts have been recognized in the Company’s consolidated statements of operations and comprehensive (loss) income.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 and Fair Value Measurements</w:t>
      </w:r>
    </w:p>
    <w:p>
      <w:pPr>
        <w:spacing w:after="0" w:line="229"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1440" w:right="119" w:hanging="750"/>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7" w:lineRule="exact"/>
        <w:rPr>
          <w:sz w:val="20"/>
          <w:szCs w:val="20"/>
          <w:color w:val="auto"/>
        </w:rPr>
      </w:pPr>
    </w:p>
    <w:p>
      <w:pPr>
        <w:ind w:left="1440" w:right="199" w:hanging="75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87" w:lineRule="exact"/>
        <w:rPr>
          <w:sz w:val="20"/>
          <w:szCs w:val="20"/>
          <w:color w:val="auto"/>
        </w:rPr>
      </w:pPr>
    </w:p>
    <w:p>
      <w:pPr>
        <w:jc w:val="both"/>
        <w:ind w:left="40" w:right="339" w:firstLine="648"/>
        <w:spacing w:after="0" w:line="259" w:lineRule="auto"/>
        <w:rPr>
          <w:sz w:val="20"/>
          <w:szCs w:val="20"/>
          <w:color w:val="auto"/>
        </w:rPr>
      </w:pPr>
      <w:r>
        <w:rPr>
          <w:rFonts w:ascii="Arial" w:cs="Arial" w:eastAsia="Arial" w:hAnsi="Arial"/>
          <w:sz w:val="18"/>
          <w:szCs w:val="18"/>
          <w:color w:val="auto"/>
        </w:rPr>
        <w:t>The carrying amounts of certain of the Company’s financial instruments, including cash equivalents, accounts receivable accounts payable and the term loan approximate fair value due to their short maturities. Warrants to purchase shares of the Company’s convertible preferred stock are stated at fair value and remeasured at the end of each reporting period.</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 Income per Share Attributable to Common Stockholders</w:t>
      </w:r>
    </w:p>
    <w:p>
      <w:pPr>
        <w:spacing w:after="0" w:line="229"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Basic net (loss) income per share attributable to common stockholders is calculated by dividing the net income (loss) attributable to common stockholders by the weighted-average number of shares of common stock outstanding for the period. The Company adjusts its net income (loss) attributable to common stockholders to reflect the impact of deemed dividends recorded for convertible preferred stock during the period.</w:t>
      </w:r>
    </w:p>
    <w:p>
      <w:pPr>
        <w:spacing w:after="0" w:line="171"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(loss) income per share using the two-class method. Accordingly, the net (loss) income attributable to common stockholders is derived from the net (loss) income for the period and, in periods in which the Company has net income attributable to common stockholders, an adjustment is made for the allocations of undistributed earnings to participating securities based on their outstanding shareholder rights. Under the two-class method, the net loss attributable to common stockholders is not allocated to the convertible preferred stock as the convertible preferred stockholders did not have a contractual obligation to share in the Company’s losses.</w:t>
      </w:r>
    </w:p>
    <w:p>
      <w:pPr>
        <w:spacing w:after="0" w:line="166"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Diluted net (loss) income attributable to common stockholders is computed by adjusting (loss) income attributable to common stockholders to allocate undistributed earnings based on the potential impact of dilutive securities, including outstanding stock options, convertible preferred stock, convertible preferred stock warrants, and common stock warrants. Diluted net (loss) income per share attributable to common stockholders is computed by dividing the diluted net (loss) income attributable to common stockholders by the weighted average number of common shares outstanding for the period, including common stock equivalents. In periods when the Company has incurred a net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color w:val="auto"/>
        </w:rPr>
        <w:t>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achieve a consistent application of revenue recognition within the U.S., resulting in a single revenue model to be applied by reporting companies under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had an immaterial impact on the consolidated financial statements.</w:t>
      </w:r>
    </w:p>
    <w:p>
      <w:pPr>
        <w:spacing w:after="0" w:line="181"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requiring companies to classify all deferred tax assets and liabilities as noncurrent on the balance sheet instead of separating deferred taxes into current and noncurrent amounts. The Company prospectively adopted this guidance effective January 1, 2018, which did not have a significant effect on the Company’s consolidated financial statements.</w:t>
      </w:r>
    </w:p>
    <w:p>
      <w:pPr>
        <w:spacing w:after="0" w:line="171"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(“ASC 718”)</w:t>
      </w:r>
      <w:r>
        <w:rPr>
          <w:rFonts w:ascii="Arial" w:cs="Arial" w:eastAsia="Arial" w:hAnsi="Arial"/>
          <w:sz w:val="16"/>
          <w:szCs w:val="16"/>
          <w:color w:val="auto"/>
        </w:rPr>
        <w:t>: Improvements to Employee Share-Based Payment Accounting, which changes the accounting for share-based payment transactions, including income tax consequences, classification of awards as either equity or liabilities, and classification in the statement of cash flows. The Company adopted this standard on a prospective basis as of January 1, 2018, which resulted in a transition adjustment of $213,000, recorded through Accumulated deficit. The adoption had no other effect on the net deferred tax balances, the consolidated statement of cash flows or otherwise on its consolidated financial statements.</w:t>
      </w:r>
    </w:p>
    <w:p>
      <w:pPr>
        <w:spacing w:after="0" w:line="164"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 xml:space="preserve">In September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w:t>
      </w:r>
      <w:r>
        <w:rPr>
          <w:rFonts w:ascii="Arial" w:cs="Arial" w:eastAsia="Arial" w:hAnsi="Arial"/>
          <w:sz w:val="18"/>
          <w:szCs w:val="18"/>
          <w:i w:val="1"/>
          <w:iCs w:val="1"/>
          <w:color w:val="auto"/>
        </w:rPr>
        <w:t>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Cash Receipts and Cash Payments (a consensus of the Emerging Issues Task Force)</w:t>
      </w:r>
      <w:r>
        <w:rPr>
          <w:rFonts w:ascii="Arial" w:cs="Arial" w:eastAsia="Arial" w:hAnsi="Arial"/>
          <w:sz w:val="18"/>
          <w:szCs w:val="18"/>
          <w:color w:val="auto"/>
        </w:rPr>
        <w:t>, which changes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Company adopted this guidance effective January 1, 2018, which did not have a significant effect on the Company’s consolidated financial statements.</w:t>
      </w:r>
    </w:p>
    <w:p>
      <w:pPr>
        <w:spacing w:after="0" w:line="188"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to simplify the subsequent measurement of goodwill by eliminating Step 2 from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The new standard requires goodwill impairment to be based upon the results of Step 1 of the goodwill impairment test, which evaluates the extent, if any, by which the carrying value of a reporting unit exceeds its fair value, with any resulting impairment not exceeding the carrying amount of goodwill. The Company early adopted ASU 2017-04 on a prospective basis effective January 1, 2018. The adoption of this guidance did not have a significant effect on the Company’s consolidated financial statements.</w:t>
      </w:r>
    </w:p>
    <w:p>
      <w:pPr>
        <w:spacing w:after="0" w:line="195"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significant effect on the Company’s consolidated financial statements.</w:t>
      </w:r>
    </w:p>
    <w:p>
      <w:pPr>
        <w:spacing w:after="0" w:line="192"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w:t>
      </w:r>
      <w:r>
        <w:rPr>
          <w:rFonts w:ascii="Arial" w:cs="Arial" w:eastAsia="Arial" w:hAnsi="Arial"/>
          <w:sz w:val="16"/>
          <w:szCs w:val="16"/>
          <w:color w:val="auto"/>
        </w:rPr>
        <w:t xml:space="preserve"> </w:t>
      </w:r>
      <w:r>
        <w:rPr>
          <w:rFonts w:ascii="Arial" w:cs="Arial" w:eastAsia="Arial" w:hAnsi="Arial"/>
          <w:sz w:val="16"/>
          <w:szCs w:val="16"/>
          <w:i w:val="1"/>
          <w:iCs w:val="1"/>
          <w:color w:val="auto"/>
        </w:rPr>
        <w:t>Modification Accounting</w:t>
      </w:r>
      <w:r>
        <w:rPr>
          <w:rFonts w:ascii="Arial" w:cs="Arial" w:eastAsia="Arial" w:hAnsi="Arial"/>
          <w:sz w:val="16"/>
          <w:szCs w:val="16"/>
          <w:color w:val="auto"/>
        </w:rPr>
        <w:t>. The amendments provide guidance on determining which changes to the terms and conditions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awards require an entity to apply modification accounting under ASC 718. An entity should account for the effects of a modification unless all the following are met: 1. The fair value (or calculated value 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the guidance effective January 1, 2018. The adoption of this guidance did not have a significant effect on the Company’s consolidated financial statements.</w:t>
      </w:r>
    </w:p>
    <w:p>
      <w:pPr>
        <w:spacing w:after="0" w:line="181"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 xml:space="preserve">In March 2018, the FASB issued ASU No. 2018-05, </w:t>
      </w:r>
      <w:r>
        <w:rPr>
          <w:rFonts w:ascii="Arial" w:cs="Arial" w:eastAsia="Arial" w:hAnsi="Arial"/>
          <w:sz w:val="16"/>
          <w:szCs w:val="16"/>
          <w:i w:val="1"/>
          <w:iCs w:val="1"/>
          <w:color w:val="auto"/>
        </w:rPr>
        <w:t>Income Taxes (ASC 740)</w:t>
      </w:r>
      <w:r>
        <w:rPr>
          <w:rFonts w:ascii="Arial" w:cs="Arial" w:eastAsia="Arial" w:hAnsi="Arial"/>
          <w:sz w:val="16"/>
          <w:szCs w:val="16"/>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significant effect on the Company’s consolidated financial statements.</w:t>
      </w:r>
    </w:p>
    <w:p>
      <w:pPr>
        <w:spacing w:after="0" w:line="164"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(ASC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Employee Share-Based Payment Accounting</w:t>
      </w:r>
      <w:r>
        <w:rPr>
          <w:rFonts w:ascii="Arial" w:cs="Arial" w:eastAsia="Arial" w:hAnsi="Arial"/>
          <w:sz w:val="16"/>
          <w:szCs w:val="16"/>
          <w:color w:val="auto"/>
        </w:rPr>
        <w:t>, which changes the accounting for share-based payment transactions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For private companies the new standard is effective for fiscal years beginning after December 15, 2019, and for interim periods therein. The Company adopted this guidance effective January 1, 2019. The adoption of this guidance did not have a significant effect on the Company’s consolidated financial statements.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Pronouncements Issued but Not Yet Adopted</w:t>
      </w:r>
    </w:p>
    <w:p>
      <w:pPr>
        <w:spacing w:after="0" w:line="229"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7"/>
          <w:szCs w:val="17"/>
          <w:color w:val="auto"/>
        </w:rPr>
        <w:t>In February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the Company for fiscal years beginning after December 15, 2019, including interim periods within those fiscal years. On July 17, 2019, the FASB voted to propose a deferral of the effective date of the standard to fiscal years beginning after December 15, 2020. The Company plans to adopt this standard as of the effective date for private companies using the modified retrospective approach of all leases entered into before the effective date. The Company is currently evaluating the impact this ASU will have on its consolidated financial statements.</w:t>
      </w:r>
    </w:p>
    <w:p>
      <w:pPr>
        <w:spacing w:after="0" w:line="203"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In August 2018, the FASB issued final guidance requiring a customer in a cloud computing arrangement that is a service contract to follow the internal use software guidance in Accounting Standards Codification (“ASC”) 350-</w:t>
      </w:r>
    </w:p>
    <w:p>
      <w:pPr>
        <w:ind w:left="40" w:right="99"/>
        <w:spacing w:after="0" w:line="290"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i w:val="1"/>
          <w:iCs w:val="1"/>
          <w:color w:val="auto"/>
        </w:rPr>
        <w:t>Intangibles—Goodwill and Other—Internal Use Software</w:t>
      </w:r>
      <w:r>
        <w:rPr>
          <w:rFonts w:ascii="Arial" w:cs="Arial" w:eastAsia="Arial" w:hAnsi="Arial"/>
          <w:sz w:val="16"/>
          <w:szCs w:val="16"/>
          <w:color w:val="auto"/>
        </w:rPr>
        <w:t xml:space="preserve"> (Subtopic 350-40) to determine which implementation costs to capitalize as assets. The amendments in this ASU are effective for fiscal years beginning after December 15, 2019. Early adoption of the amendments is permitted, including adoption in any interim period, for all entities and should be applied either retrospectively or prospectively to all implementation costs incurred after the date of adoption. The Company is currently reviewing its cloud computing arrangements to evaluate the impact of adoption of the final guidance but does not expect that the pending adoption of this ASU will have a material effect on its consolidated financial statements.</w:t>
      </w:r>
    </w:p>
    <w:p>
      <w:pPr>
        <w:spacing w:after="0" w:line="164"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In June 2016, the FASB issued ASU 2016-13 which replaces the incurred loss impairment methodology in current U.S. GAAP with a methodology that reflects expected credit losses and requires consideration of a broader range of reasonable and supportable information to inform credit loss estimates. On July 17, 2019, the FASB voted to propose a deferral of the effective date of the standard to fiscal years beginning after December 15, 2022. As the Company elected the private company transition rules as part of the IPO process, the ASU is effective for the Company for annual periods beginning after December 15, 2022, and interim periods within those years.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disaggregates revenue by service (in thousands):</w:t>
      </w:r>
    </w:p>
    <w:p>
      <w:pPr>
        <w:spacing w:after="0" w:line="230"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 Ended</w:t>
      </w:r>
    </w:p>
    <w:p>
      <w:pP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5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Fertility benefit services 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189,618</w:t>
            </w:r>
          </w:p>
        </w:tc>
        <w:tc>
          <w:tcPr>
            <w:tcW w:w="200" w:type="dxa"/>
            <w:vAlign w:val="bottom"/>
          </w:tcPr>
          <w:p>
            <w:pPr>
              <w:spacing w:after="0"/>
              <w:rPr>
                <w:sz w:val="18"/>
                <w:szCs w:val="18"/>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99,786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Pharmacy benefit services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r>
      <w:tr>
        <w:trPr>
          <w:trHeight w:val="217"/>
        </w:trPr>
        <w:tc>
          <w:tcPr>
            <w:tcW w:w="50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229,683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105,400</w:t>
            </w: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 of Major Clients</w:t>
      </w:r>
    </w:p>
    <w:p>
      <w:pPr>
        <w:spacing w:after="0" w:line="229" w:lineRule="exact"/>
        <w:rPr>
          <w:sz w:val="20"/>
          <w:szCs w:val="20"/>
          <w:color w:val="auto"/>
        </w:rPr>
      </w:pPr>
    </w:p>
    <w:p>
      <w:pPr>
        <w:jc w:val="both"/>
        <w:ind w:left="40" w:right="539" w:firstLine="648"/>
        <w:spacing w:after="0" w:line="263" w:lineRule="auto"/>
        <w:rPr>
          <w:sz w:val="20"/>
          <w:szCs w:val="20"/>
          <w:color w:val="auto"/>
        </w:rPr>
      </w:pPr>
      <w:r>
        <w:rPr>
          <w:rFonts w:ascii="Arial" w:cs="Arial" w:eastAsia="Arial" w:hAnsi="Arial"/>
          <w:sz w:val="18"/>
          <w:szCs w:val="18"/>
          <w:color w:val="auto"/>
        </w:rPr>
        <w:t>For the year ended December 31, 2019, three clients accounted for 16%, 15% and 10%, or 41% of our total revenue. For the year ended December 31, 2018 three clients accounted for 24%, 14%, and 10%, or 48% of our total revenue.</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Assets and liabilities measured at fair value on a recurring basis were as follows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7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78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4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142"/>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3</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Convertible preferred stock warrant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4,589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17"/>
        </w:trPr>
        <w:tc>
          <w:tcPr>
            <w:tcW w:w="40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4,589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bl>
    <w:p>
      <w:pPr>
        <w:spacing w:after="0" w:line="202"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The estimated fair values of the convertible preferred stock warrant liabilities (see Note 10) were determined using Level 3, or significant unobservable inputs. Changes to the estimated fair value of the warrants are recorded in other income or other expense in the statements of operations and comprehensive income (loss). The following table provides the changes in the estimated fair value of the convertible preferred stock warrants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Convertible</w:t>
            </w:r>
          </w:p>
        </w:tc>
      </w:tr>
      <w:tr>
        <w:trPr>
          <w:trHeight w:val="149"/>
        </w:trPr>
        <w:tc>
          <w:tcPr>
            <w:tcW w:w="9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Preferred Stock</w:t>
            </w:r>
          </w:p>
        </w:tc>
      </w:tr>
      <w:tr>
        <w:trPr>
          <w:trHeight w:val="171"/>
        </w:trPr>
        <w:tc>
          <w:tcPr>
            <w:tcW w:w="9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8"/>
              </w:rPr>
              <w:t>Warrants</w:t>
            </w:r>
          </w:p>
        </w:tc>
      </w:tr>
      <w:tr>
        <w:trPr>
          <w:trHeight w:val="210"/>
        </w:trPr>
        <w:tc>
          <w:tcPr>
            <w:tcW w:w="90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Changes in estimate fair value of warrants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18,176</w:t>
            </w:r>
          </w:p>
        </w:tc>
        <w:tc>
          <w:tcPr>
            <w:tcW w:w="900" w:type="dxa"/>
            <w:vAlign w:val="bottom"/>
          </w:tcPr>
          <w:p>
            <w:pPr>
              <w:spacing w:after="0"/>
              <w:rPr>
                <w:sz w:val="18"/>
                <w:szCs w:val="18"/>
                <w:color w:val="auto"/>
              </w:rPr>
            </w:pPr>
          </w:p>
        </w:tc>
      </w:tr>
      <w:tr>
        <w:trPr>
          <w:trHeight w:val="202"/>
        </w:trPr>
        <w:tc>
          <w:tcPr>
            <w:tcW w:w="900" w:type="dxa"/>
            <w:vAlign w:val="bottom"/>
          </w:tcPr>
          <w:p>
            <w:pPr>
              <w:spacing w:after="0"/>
              <w:rPr>
                <w:sz w:val="17"/>
                <w:szCs w:val="17"/>
                <w:color w:val="auto"/>
              </w:rPr>
            </w:pPr>
          </w:p>
        </w:tc>
        <w:tc>
          <w:tcPr>
            <w:tcW w:w="5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Conversion of convertible preferred stock warrants to common stock warrants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900" w:type="dxa"/>
            <w:vAlign w:val="bottom"/>
          </w:tcPr>
          <w:p>
            <w:pPr>
              <w:spacing w:after="0"/>
              <w:rPr>
                <w:sz w:val="20"/>
                <w:szCs w:val="20"/>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upon IPO</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w:t>
            </w:r>
          </w:p>
        </w:tc>
        <w:tc>
          <w:tcPr>
            <w:tcW w:w="900" w:type="dxa"/>
            <w:vAlign w:val="bottom"/>
          </w:tcPr>
          <w:p>
            <w:pPr>
              <w:spacing w:after="0"/>
              <w:rPr>
                <w:sz w:val="20"/>
                <w:szCs w:val="20"/>
                <w:color w:val="auto"/>
              </w:rPr>
            </w:pPr>
          </w:p>
        </w:tc>
      </w:tr>
      <w:tr>
        <w:trPr>
          <w:trHeight w:val="217"/>
        </w:trPr>
        <w:tc>
          <w:tcPr>
            <w:tcW w:w="9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864"/>
        </w:trPr>
        <w:tc>
          <w:tcPr>
            <w:tcW w:w="900" w:type="dxa"/>
            <w:vAlign w:val="bottom"/>
          </w:tcPr>
          <w:p>
            <w:pPr>
              <w:spacing w:after="0"/>
              <w:rPr>
                <w:sz w:val="24"/>
                <w:szCs w:val="24"/>
                <w:color w:val="auto"/>
              </w:rPr>
            </w:pPr>
          </w:p>
        </w:tc>
        <w:tc>
          <w:tcPr>
            <w:tcW w:w="5920" w:type="dxa"/>
            <w:vAlign w:val="bottom"/>
          </w:tcPr>
          <w:p>
            <w:pPr>
              <w:ind w:left="348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During the years ended December 31, 2019 and 2018, there were no transfers between Level 1, Level 2, or Level 3 assets or liabilities reported at fair value on a recurring basis and the valuation techniques used to value the Level 3 liabilities did not change.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 term</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7"/>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419" w:firstLine="648"/>
        <w:spacing w:after="0" w:line="277" w:lineRule="auto"/>
        <w:rPr>
          <w:sz w:val="20"/>
          <w:szCs w:val="20"/>
          <w:color w:val="auto"/>
        </w:rPr>
      </w:pPr>
      <w:r>
        <w:rPr>
          <w:rFonts w:ascii="Arial" w:cs="Arial" w:eastAsia="Arial" w:hAnsi="Arial"/>
          <w:sz w:val="18"/>
          <w:szCs w:val="18"/>
          <w:color w:val="auto"/>
        </w:rPr>
        <w:t>Depreciation expense was approximately $650,000, $400,000, and $76,000 for the years ended December 31, 2019, 2018 and 2017,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Divestitures</w:t>
      </w:r>
    </w:p>
    <w:p>
      <w:pPr>
        <w:spacing w:after="0" w:line="229"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On January 18, 2018, the Company completed the divestiture of its Eeva business, the primary operations of our previous medical device segment, to a related party, Ares Trading S.A. a subsidiary of Merck Serono, S.A. (“Merck”), a shareholder in the Company. The Eeva business was sold to Merck for $7.9 million, consisting of cash of $3.0 million and the forgiveness of the $4.9 million liability remaining from the previous license agreement for the Eeva product between the two parties. The cash consideration includes $300,000 of deferred consideration, of which the last payment was received by the Company in March 2019.</w:t>
      </w:r>
    </w:p>
    <w:p>
      <w:pPr>
        <w:spacing w:after="0" w:line="192"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The Company determined that the Eeva business met the criteria to be classified as held for sale as of December 31, 2016, representing a strategic shift in Progyny’s operations. With the amendment of the license agreement in May 2016, management committed to a plan to sell the business and move from the medical device business to the fertility benefits business which represented a strategic shift. The Board of Directors approved the ultimate sale of Eeva in December 2017.</w:t>
      </w:r>
    </w:p>
    <w:p>
      <w:pPr>
        <w:spacing w:after="0" w:line="157" w:lineRule="exact"/>
        <w:rPr>
          <w:sz w:val="20"/>
          <w:szCs w:val="20"/>
          <w:color w:val="auto"/>
        </w:rPr>
      </w:pPr>
    </w:p>
    <w:p>
      <w:pPr>
        <w:ind w:left="40" w:right="279" w:firstLine="648"/>
        <w:spacing w:after="0" w:line="342" w:lineRule="auto"/>
        <w:rPr>
          <w:sz w:val="20"/>
          <w:szCs w:val="20"/>
          <w:color w:val="auto"/>
        </w:rPr>
      </w:pPr>
      <w:r>
        <w:rPr>
          <w:rFonts w:ascii="Arial" w:cs="Arial" w:eastAsia="Arial" w:hAnsi="Arial"/>
          <w:sz w:val="16"/>
          <w:szCs w:val="16"/>
          <w:color w:val="auto"/>
        </w:rPr>
        <w:t>In accordance with the applicable accounting guidance, upon the sale of the Eeva business on January 18, 2018, the Company reflected the Eeva business as discontinued operations in the consolidated financial statements.</w:t>
      </w:r>
    </w:p>
    <w:p>
      <w:pPr>
        <w:spacing w:after="0" w:line="124"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Excluding the $200,000 of assets representing the remaining deferred consideration, there was no other assets or liabilities associated with the Eeva business as of December 31, 2018.</w:t>
      </w:r>
    </w:p>
    <w:p>
      <w:pPr>
        <w:spacing w:after="0" w:line="170"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This transaction had no impact on the consolidated statement of operations and comprehensive income (loss) for the fiscal year of 2019. The following is a summary of the operating results of Eeva which have been reflected within income from discontinued operations, net of tax (in thousands):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Cost of service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General and administration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Income from discontinued operations, before taxes</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7,554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4080" w:type="dxa"/>
            <w:vAlign w:val="bottom"/>
          </w:tcPr>
          <w:p>
            <w:pPr>
              <w:ind w:left="100"/>
              <w:spacing w:after="0" w:line="182" w:lineRule="exact"/>
              <w:rPr>
                <w:sz w:val="20"/>
                <w:szCs w:val="20"/>
                <w:color w:val="auto"/>
              </w:rPr>
            </w:pPr>
            <w:r>
              <w:rPr>
                <w:rFonts w:ascii="Arial" w:cs="Arial" w:eastAsia="Arial" w:hAnsi="Arial"/>
                <w:sz w:val="18"/>
                <w:szCs w:val="18"/>
                <w:color w:val="auto"/>
              </w:rPr>
              <w:t>Net income from discontinued operations, net of</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5,777</w:t>
            </w:r>
          </w:p>
        </w:tc>
        <w:tc>
          <w:tcPr>
            <w:tcW w:w="16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080" w:type="dxa"/>
            <w:vAlign w:val="bottom"/>
          </w:tcPr>
          <w:p>
            <w:pPr>
              <w:ind w:left="100"/>
              <w:spacing w:after="0"/>
              <w:rPr>
                <w:sz w:val="20"/>
                <w:szCs w:val="20"/>
                <w:color w:val="auto"/>
              </w:rPr>
            </w:pPr>
            <w:r>
              <w:rPr>
                <w:rFonts w:ascii="Arial" w:cs="Arial" w:eastAsia="Arial" w:hAnsi="Arial"/>
                <w:sz w:val="18"/>
                <w:szCs w:val="18"/>
                <w:color w:val="auto"/>
              </w:rPr>
              <w:t>taxes</w:t>
            </w:r>
          </w:p>
        </w:tc>
        <w:tc>
          <w:tcPr>
            <w:tcW w:w="1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significant components of the consolidated statement of cash flows for Eeva are as follows (in thousands):</w:t>
      </w:r>
    </w:p>
    <w:p>
      <w:pPr>
        <w:spacing w:after="0" w:line="253"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 Ended</w:t>
      </w:r>
    </w:p>
    <w:p>
      <w:pPr>
        <w:ind w:left="6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5"/>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8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expense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license revenue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50"/>
        </w:trPr>
        <w:tc>
          <w:tcPr>
            <w:tcW w:w="90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Deferred consideration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w w:val="86"/>
              </w:rPr>
              <w:t>200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Proceeds from sale of business, net of costs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960" w:type="dxa"/>
            <w:vAlign w:val="bottom"/>
            <w:gridSpan w:val="7"/>
          </w:tcPr>
          <w:p>
            <w:pPr>
              <w:jc w:val="right"/>
              <w:spacing w:after="0"/>
              <w:rPr>
                <w:sz w:val="20"/>
                <w:szCs w:val="20"/>
                <w:color w:val="auto"/>
              </w:rPr>
            </w:pPr>
            <w:r>
              <w:rPr>
                <w:rFonts w:ascii="Arial" w:cs="Arial" w:eastAsia="Arial" w:hAnsi="Arial"/>
                <w:sz w:val="18"/>
                <w:szCs w:val="18"/>
                <w:color w:val="auto"/>
              </w:rPr>
              <w:t>2,481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7. Intangible Assets, Net</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2"/>
          </w:tcPr>
          <w:p>
            <w:pPr>
              <w:ind w:left="660"/>
              <w:spacing w:after="0"/>
              <w:rPr>
                <w:sz w:val="20"/>
                <w:szCs w:val="20"/>
                <w:color w:val="auto"/>
              </w:rPr>
            </w:pPr>
            <w:r>
              <w:rPr>
                <w:rFonts w:ascii="Arial" w:cs="Arial" w:eastAsia="Arial" w:hAnsi="Arial"/>
                <w:sz w:val="18"/>
                <w:szCs w:val="18"/>
                <w:color w:val="auto"/>
                <w:w w:val="92"/>
              </w:rPr>
              <w:t>Intangible assets consist of the following (in thousands):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Useful Life</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7"/>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Physician Network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2,375</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Amortization expense was $1.5 million for the years ended December 31, 2019,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2019, the future amortization expense of other intangible assets is as follows (in thousands):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claims payable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9,782</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Company’s $8.0 million term loan, entered into in November 2015 (“Term Loan”), carried an interest rate equal to the greater of 7.5% or LIBOR plus 7.3%. The terms contain a prepayment fee of 3.0% of the outstanding principal if repaid after the effective date but on or prior to the first anniversary, 2.0% if repaid after the first anniversary of the effective date but on or prior to the second anniversary, and 1.0% if repaid after the second anniversary of the effective date but prior to the maturity date. Additionally, the terms contained an additional significant final payment representing 8.0% of the original principal.</w:t>
      </w:r>
    </w:p>
    <w:p>
      <w:pPr>
        <w:spacing w:after="0" w:line="192"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(“SVB Line of Credit”). Eligible accounts receivable is defined in the loan agreement as accounts billed with aging 90 days or less and excludes accounts receivable due for member copayments, coinsurance, and deductibles.</w:t>
      </w:r>
    </w:p>
    <w:p>
      <w:pPr>
        <w:spacing w:after="0" w:line="188"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Upon execution of the SVB Line of Credit, the Term Loan was paid off in full including the remaining principal balance of $2.9 million, final balloon payment of $640,000 and the 1.0% early payment penalty fee of $15,000. The repayment of the Term Loan was treated as a debt extinguishment and the Company recognized the remaining unamortized debt discount of $88,000 as a loss on debt extinguishment in Interest expense, net for the year ended December 31, 2018.</w:t>
      </w:r>
    </w:p>
    <w:p>
      <w:pPr>
        <w:spacing w:after="0" w:line="157" w:lineRule="exact"/>
        <w:rPr>
          <w:sz w:val="20"/>
          <w:szCs w:val="20"/>
          <w:color w:val="auto"/>
        </w:rPr>
      </w:pPr>
    </w:p>
    <w:p>
      <w:pPr>
        <w:ind w:left="40" w:right="199" w:firstLine="648"/>
        <w:spacing w:after="0" w:line="254" w:lineRule="auto"/>
        <w:rPr>
          <w:sz w:val="20"/>
          <w:szCs w:val="20"/>
          <w:color w:val="auto"/>
        </w:rPr>
      </w:pPr>
      <w:r>
        <w:rPr>
          <w:rFonts w:ascii="Arial" w:cs="Arial" w:eastAsia="Arial" w:hAnsi="Arial"/>
          <w:sz w:val="18"/>
          <w:szCs w:val="18"/>
          <w:color w:val="auto"/>
        </w:rPr>
        <w:t>The Company is required to pay a revolving line commitment fee of $225,000 in three equal annual installments of $75,000 starting on the one-year anniversary of the revolving line.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achieve minimum revenue targets established at 75% of the annual financial projections approved by the Board of Directors.</w:t>
      </w:r>
    </w:p>
    <w:p>
      <w:pPr>
        <w:spacing w:after="0" w:line="178" w:lineRule="exact"/>
        <w:rPr>
          <w:sz w:val="20"/>
          <w:szCs w:val="20"/>
          <w:color w:val="auto"/>
        </w:rPr>
      </w:pPr>
    </w:p>
    <w:p>
      <w:pPr>
        <w:ind w:left="40" w:right="539" w:firstLine="648"/>
        <w:spacing w:after="0" w:line="277" w:lineRule="auto"/>
        <w:rPr>
          <w:sz w:val="20"/>
          <w:szCs w:val="20"/>
          <w:color w:val="auto"/>
        </w:rPr>
      </w:pPr>
      <w:r>
        <w:rPr>
          <w:rFonts w:ascii="Arial" w:cs="Arial" w:eastAsia="Arial" w:hAnsi="Arial"/>
          <w:sz w:val="18"/>
          <w:szCs w:val="18"/>
          <w:color w:val="auto"/>
        </w:rPr>
        <w:t>The Company was in compliance with all requirements and its covenant of the revolving credit facility as of December 31, 2019 and December 31, 2018.</w:t>
      </w:r>
    </w:p>
    <w:p>
      <w:pPr>
        <w:spacing w:after="0" w:line="170"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Prior to the repayment of the Term Loan, the Company recorded interest of $163,000 and accretion of the debt discount of $75,000 in Interest expense, net for the year ended December 31, 2018.</w:t>
      </w:r>
    </w:p>
    <w:p>
      <w:pPr>
        <w:spacing w:after="0" w:line="170"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As of December 31, 2019, and December 31, 2018, the Company had $0 and $253,000 drawn on the SVB Line of Credit, respectively. During the year ended December 31, 2019, the Company recorded interest expense on the SVB Line of Credit of $213,000.</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Convertible Preferred Stock Warrants</w:t>
      </w:r>
    </w:p>
    <w:p>
      <w:pPr>
        <w:spacing w:after="0" w:line="229" w:lineRule="exact"/>
        <w:rPr>
          <w:sz w:val="20"/>
          <w:szCs w:val="20"/>
          <w:color w:val="auto"/>
        </w:rPr>
      </w:pPr>
    </w:p>
    <w:p>
      <w:pPr>
        <w:ind w:left="40" w:right="219" w:firstLine="648"/>
        <w:spacing w:after="0" w:line="275" w:lineRule="auto"/>
        <w:rPr>
          <w:sz w:val="20"/>
          <w:szCs w:val="20"/>
          <w:color w:val="auto"/>
        </w:rPr>
      </w:pPr>
      <w:r>
        <w:rPr>
          <w:rFonts w:ascii="Arial" w:cs="Arial" w:eastAsia="Arial" w:hAnsi="Arial"/>
          <w:sz w:val="17"/>
          <w:szCs w:val="17"/>
          <w:color w:val="auto"/>
        </w:rPr>
        <w:t>In connection with the IPO on October 25, 2019 the convertible preferred warrants converted to common stock warrants. Therefore, as of December 31, 2019 the Company had no outstanding convertible preferred warrants. Prior to the conversion, the convertible preferred stock warrants were valued using the price as of the IPO date of $13 less the exercise price of $1.73 per common share. In the fourth quarter of 2019, 482,661 common stock warrants were exercised for 441,307 shares of common stock at a weighted average exercise price of $1.59.</w:t>
      </w:r>
    </w:p>
    <w:p>
      <w:pPr>
        <w:spacing w:after="0" w:line="176"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As of December 31, 2018 the Company had issued and outstanding warrants to acquire 2,019,245 shares of Series B convertible preferred stock for $1.73 per share with a fair value of $4.6 million that were issued in conjunction with various equity and financing transactions.</w:t>
      </w:r>
    </w:p>
    <w:p>
      <w:pPr>
        <w:spacing w:after="0" w:line="184"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The Company recognized the warrants at fair value at the time of issuance and remeasures the warrants at their fair value on a recurring basis thereafter. Given the deemed liquidation provisions of the underlying convertible preferred stock, the convertible preferred stock warrant liabilities are recorded at fair value and are subject to remeasurement at each balance sheet date. The Company calculates the warrants’ fair value as follows:</w:t>
      </w:r>
    </w:p>
    <w:p>
      <w:pPr>
        <w:spacing w:after="0" w:line="171" w:lineRule="exact"/>
        <w:rPr>
          <w:sz w:val="20"/>
          <w:szCs w:val="20"/>
          <w:color w:val="auto"/>
        </w:rPr>
      </w:pPr>
    </w:p>
    <w:p>
      <w:pPr>
        <w:ind w:left="1020" w:hanging="328"/>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equity value is estimated using the market approach.</w:t>
      </w:r>
    </w:p>
    <w:p>
      <w:pPr>
        <w:spacing w:after="0" w:line="225" w:lineRule="exact"/>
        <w:rPr>
          <w:rFonts w:ascii="Arial" w:cs="Arial" w:eastAsia="Arial" w:hAnsi="Arial"/>
          <w:sz w:val="18"/>
          <w:szCs w:val="18"/>
          <w:color w:val="auto"/>
        </w:rPr>
      </w:pPr>
    </w:p>
    <w:p>
      <w:pPr>
        <w:ind w:left="1020" w:right="99" w:hanging="328"/>
        <w:spacing w:after="0" w:line="273"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No warrants were issued in 2019 or 2018. The warrants outstanding at December 31, 2018, were valued at approximately $2.27 per share utilizing an option pricing model, time to liquidity of two years, underlying stock volatility of 43% and a risk-free interest rate of 2.3%.</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Rollforward of warrants and fair value</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Liability</w:t>
            </w:r>
          </w:p>
        </w:tc>
      </w:tr>
      <w:tr>
        <w:trPr>
          <w:trHeight w:val="142"/>
        </w:trPr>
        <w:tc>
          <w:tcPr>
            <w:tcW w:w="20" w:type="dxa"/>
            <w:vAlign w:val="bottom"/>
          </w:tcPr>
          <w:p>
            <w:pPr>
              <w:spacing w:after="0"/>
              <w:rPr>
                <w:sz w:val="12"/>
                <w:szCs w:val="12"/>
                <w:color w:val="auto"/>
              </w:rPr>
            </w:pPr>
          </w:p>
        </w:tc>
        <w:tc>
          <w:tcPr>
            <w:tcW w:w="5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warrants and liability as of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2,019,245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Revaluation of remaining warrants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18,176</w:t>
            </w: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Conversion of preferred stock warrants to common stock warrants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(2,019,245)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(22,765)</w:t>
            </w:r>
          </w:p>
        </w:tc>
      </w:tr>
      <w:tr>
        <w:trPr>
          <w:trHeight w:val="217"/>
        </w:trPr>
        <w:tc>
          <w:tcPr>
            <w:tcW w:w="5300" w:type="dxa"/>
            <w:vAlign w:val="bottom"/>
            <w:gridSpan w:val="3"/>
          </w:tcPr>
          <w:p>
            <w:pPr>
              <w:spacing w:after="0"/>
              <w:rPr>
                <w:sz w:val="20"/>
                <w:szCs w:val="20"/>
                <w:color w:val="auto"/>
              </w:rPr>
            </w:pPr>
            <w:r>
              <w:rPr>
                <w:rFonts w:ascii="Arial" w:cs="Arial" w:eastAsia="Arial" w:hAnsi="Arial"/>
                <w:sz w:val="18"/>
                <w:szCs w:val="18"/>
                <w:color w:val="auto"/>
              </w:rPr>
              <w:t>Total warrants and liability as of December 31, 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In September 2019, the Company entered into a lease agreement for its corporate offices in New York, NY. The lease is for a 25,212 square foot office and will expire in May 2029. Pursuant to the 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Future minimum facility lease payments as of December 31, 2019,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4"/>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09"/>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119" w:firstLine="648"/>
        <w:spacing w:after="0" w:line="259" w:lineRule="auto"/>
        <w:rPr>
          <w:sz w:val="20"/>
          <w:szCs w:val="20"/>
          <w:color w:val="auto"/>
        </w:rPr>
      </w:pPr>
      <w:r>
        <w:rPr>
          <w:rFonts w:ascii="Arial" w:cs="Arial" w:eastAsia="Arial" w:hAnsi="Arial"/>
          <w:sz w:val="18"/>
          <w:szCs w:val="18"/>
          <w:color w:val="auto"/>
        </w:rPr>
        <w:t>Rent expense under operating leases was approximately $1,165,000, $878,000 and $650,000 for the years ended December 31, 2019, 2018, and 2017 respectively. The terms of the facility lease provide for rental payments on a monthly basis and on a graduated scale. The Company recognizes rent expense on a straight-line basis over the lease period and has accrued for rent expense incurred but not paid.</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Arbitration/Litigation</w:t>
      </w:r>
    </w:p>
    <w:p>
      <w:pPr>
        <w:spacing w:after="0" w:line="229"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with the vendor. On April 3, 2019, the vendor filed a Second Amended Demand for Arbitration (“SAD”) for breach of the Agreement. The vendor seeks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Company believes the vendor’s claims are without merit and intends to vigorously defend against the claims in the Arbitration. Due to the inherent uncertainties of litigation, the Company cannot predict the outcome of the actions at this time and can give no assurances that the asserted claim will not have a material adverse effect on the financial position or results of operations of the Company.</w:t>
      </w:r>
    </w:p>
    <w:p>
      <w:pPr>
        <w:spacing w:after="0" w:line="182" w:lineRule="exact"/>
        <w:rPr>
          <w:sz w:val="20"/>
          <w:szCs w:val="20"/>
          <w:color w:val="auto"/>
        </w:rPr>
      </w:pPr>
    </w:p>
    <w:p>
      <w:pPr>
        <w:ind w:left="40" w:right="479" w:firstLine="648"/>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177" w:lineRule="exact"/>
        <w:rPr>
          <w:sz w:val="20"/>
          <w:szCs w:val="20"/>
          <w:color w:val="auto"/>
        </w:rPr>
      </w:pPr>
    </w:p>
    <w:p>
      <w:pPr>
        <w:ind w:left="40" w:right="6399" w:firstLine="4"/>
        <w:spacing w:after="0" w:line="503" w:lineRule="auto"/>
        <w:tabs>
          <w:tab w:leader="none" w:pos="31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ind w:left="40" w:right="79" w:firstLine="648"/>
        <w:spacing w:after="0" w:line="263" w:lineRule="auto"/>
        <w:rPr>
          <w:sz w:val="20"/>
          <w:szCs w:val="20"/>
          <w:color w:val="auto"/>
        </w:rPr>
      </w:pPr>
      <w:r>
        <w:rPr>
          <w:rFonts w:ascii="Arial" w:cs="Arial" w:eastAsia="Arial" w:hAnsi="Arial"/>
          <w:sz w:val="18"/>
          <w:szCs w:val="18"/>
          <w:color w:val="auto"/>
        </w:rPr>
        <w:t>The common stock confers upon its holders the right to receive dividends out of any assets legally available, when and as declared by the Board of Directors, but subject to the prior right of the holders of the Series Preferred as described above.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0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r>
      <w:tr>
        <w:trPr>
          <w:trHeight w:val="142"/>
        </w:trPr>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rPr>
              <w:t>Warrants in Series B convertible preferred stock issued and</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outstanding</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2,019,245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1,607,864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Shares available for grants under stock option plan</w:t>
            </w:r>
          </w:p>
        </w:tc>
        <w:tc>
          <w:tcPr>
            <w:tcW w:w="960" w:type="dxa"/>
            <w:vAlign w:val="bottom"/>
          </w:tcPr>
          <w:p>
            <w:pPr>
              <w:jc w:val="right"/>
              <w:spacing w:after="0"/>
              <w:rPr>
                <w:sz w:val="20"/>
                <w:szCs w:val="20"/>
                <w:color w:val="auto"/>
              </w:rPr>
            </w:pPr>
            <w:r>
              <w:rPr>
                <w:rFonts w:ascii="Arial" w:cs="Arial" w:eastAsia="Arial" w:hAnsi="Arial"/>
                <w:sz w:val="18"/>
                <w:szCs w:val="18"/>
                <w:color w:val="auto"/>
              </w:rPr>
              <w:t>3,124,254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143,710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 under stock plan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15,721,085</w:t>
            </w:r>
          </w:p>
        </w:tc>
        <w:tc>
          <w:tcPr>
            <w:tcW w:w="1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15,932,040</w:t>
            </w: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Total common stock reserved for future issuance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20,453,203</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83,663,477</w:t>
            </w:r>
          </w:p>
        </w:tc>
      </w:tr>
    </w:tbl>
    <w:p>
      <w:pPr>
        <w:spacing w:after="0" w:line="202"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In September 2018, the Company repurchased 589,320 shares of common stock, held by former employees, at a price per share of $2.04, for total consideration of $1.2 million. The difference of $321,000 between the fair value on the date of repurchase (at $1.49 per share) and the cash consideration paid has been recorded as a dividend as of December 31, 2018 as there were no ongoing services being delivered by the ex-employees since the date of termination. The Company has not retired the shares repurchased and as such, have recorded the shares repurchased at cost $884,000 and treated them as treasury shares.</w:t>
      </w:r>
    </w:p>
    <w:p>
      <w:pPr>
        <w:spacing w:after="0" w:line="192" w:lineRule="exact"/>
        <w:rPr>
          <w:sz w:val="20"/>
          <w:szCs w:val="20"/>
          <w:color w:val="auto"/>
        </w:rPr>
      </w:pPr>
    </w:p>
    <w:p>
      <w:pPr>
        <w:jc w:val="both"/>
        <w:ind w:left="40" w:right="159" w:firstLine="648"/>
        <w:spacing w:after="0" w:line="263" w:lineRule="auto"/>
        <w:rPr>
          <w:sz w:val="20"/>
          <w:szCs w:val="20"/>
          <w:color w:val="auto"/>
        </w:rPr>
      </w:pPr>
      <w:r>
        <w:rPr>
          <w:rFonts w:ascii="Arial" w:cs="Arial" w:eastAsia="Arial" w:hAnsi="Arial"/>
          <w:sz w:val="18"/>
          <w:szCs w:val="18"/>
          <w:color w:val="auto"/>
        </w:rPr>
        <w:t>In August 2019, the Company repurchased 26,659 shares of common stock at an average price per share of $6.91 pursuant to its contractual right of first refusal for offers made by third parties to acquire outstanding shares from existing stockholders. The repurchased shares were recorded as treasury shares.</w:t>
      </w:r>
    </w:p>
    <w:p>
      <w:pPr>
        <w:spacing w:after="0" w:line="184" w:lineRule="exact"/>
        <w:rPr>
          <w:sz w:val="20"/>
          <w:szCs w:val="20"/>
          <w:color w:val="auto"/>
        </w:rPr>
      </w:pPr>
    </w:p>
    <w:p>
      <w:pPr>
        <w:jc w:val="both"/>
        <w:ind w:left="40" w:right="179" w:firstLine="648"/>
        <w:spacing w:after="0" w:line="277" w:lineRule="auto"/>
        <w:rPr>
          <w:sz w:val="20"/>
          <w:szCs w:val="20"/>
          <w:color w:val="auto"/>
        </w:rPr>
      </w:pPr>
      <w:r>
        <w:rPr>
          <w:rFonts w:ascii="Arial" w:cs="Arial" w:eastAsia="Arial" w:hAnsi="Arial"/>
          <w:sz w:val="18"/>
          <w:szCs w:val="18"/>
          <w:color w:val="auto"/>
        </w:rPr>
        <w:t>As of December 31, 2019 and December 31, 2018, the Company had 615,980 and 589,320 shares respectively of treasury stock.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Incentive Plan</w:t>
      </w:r>
    </w:p>
    <w:p>
      <w:pPr>
        <w:spacing w:after="0" w:line="229"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In October 2019, the Company’s Board of Directors and stockholders adopted and approved the 2019 Equity Incentive Plan, (the “2019 Plan”), as the successor to continuation of the Company’s 2017 Equity Incentive Plan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99"/>
        <w:spacing w:after="0" w:line="255" w:lineRule="auto"/>
        <w:rPr>
          <w:sz w:val="20"/>
          <w:szCs w:val="20"/>
          <w:color w:val="auto"/>
        </w:rPr>
      </w:pPr>
      <w:r>
        <w:rPr>
          <w:rFonts w:ascii="Arial" w:cs="Arial" w:eastAsia="Arial" w:hAnsi="Arial"/>
          <w:sz w:val="18"/>
          <w:szCs w:val="18"/>
          <w:color w:val="auto"/>
        </w:rPr>
        <w:t>consisting of (a) shares that remain available for the issuance of awards under the 2017 Plan immediately prior to the effective date of the 2019 Plan and (b) shares of our common stock subject to outstanding stock options or other stock awards granted under our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92" w:lineRule="exact"/>
        <w:rPr>
          <w:sz w:val="20"/>
          <w:szCs w:val="20"/>
          <w:color w:val="auto"/>
        </w:rPr>
      </w:pPr>
    </w:p>
    <w:p>
      <w:pPr>
        <w:ind w:left="40" w:right="139" w:firstLine="648"/>
        <w:spacing w:after="0" w:line="308" w:lineRule="auto"/>
        <w:rPr>
          <w:sz w:val="20"/>
          <w:szCs w:val="20"/>
          <w:color w:val="auto"/>
        </w:rPr>
      </w:pPr>
      <w:r>
        <w:rPr>
          <w:rFonts w:ascii="Arial" w:cs="Arial" w:eastAsia="Arial" w:hAnsi="Arial"/>
          <w:sz w:val="17"/>
          <w:szCs w:val="17"/>
          <w:color w:val="auto"/>
        </w:rPr>
        <w:t>As of December 31, 2018, the Company maintained two stock-based compensation plans: (i) the 2008 Stock Plan (the “2008 Plan”) and (ii) the 2017 Plan. All awards issued in 2018 were issued pursuant to the 2017 Plan.</w:t>
      </w:r>
    </w:p>
    <w:p>
      <w:pPr>
        <w:spacing w:after="0" w:line="146" w:lineRule="exact"/>
        <w:rPr>
          <w:sz w:val="20"/>
          <w:szCs w:val="20"/>
          <w:color w:val="auto"/>
        </w:rPr>
      </w:pPr>
    </w:p>
    <w:p>
      <w:pPr>
        <w:ind w:left="40" w:right="159" w:firstLine="648"/>
        <w:spacing w:after="0" w:line="289" w:lineRule="auto"/>
        <w:rPr>
          <w:sz w:val="20"/>
          <w:szCs w:val="20"/>
          <w:color w:val="auto"/>
        </w:rPr>
      </w:pPr>
      <w:r>
        <w:rPr>
          <w:rFonts w:ascii="Arial" w:cs="Arial" w:eastAsia="Arial" w:hAnsi="Arial"/>
          <w:sz w:val="16"/>
          <w:szCs w:val="16"/>
          <w:color w:val="auto"/>
        </w:rPr>
        <w:t>Under the Company’s 2017 Plan and consistent with the 2008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2019 and December 31, 2018.</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Available</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for</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Future Grant</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15,932,040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Additional shares authorized for grant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9,708,653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(7,069,628)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7,069,628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(6,490,059)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500,882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(500,882)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880" w:type="dxa"/>
            <w:vAlign w:val="bottom"/>
          </w:tcPr>
          <w:p>
            <w:pPr>
              <w:jc w:val="right"/>
              <w:spacing w:after="0"/>
              <w:rPr>
                <w:sz w:val="20"/>
                <w:szCs w:val="20"/>
                <w:color w:val="auto"/>
              </w:rPr>
            </w:pPr>
            <w:r>
              <w:rPr>
                <w:rFonts w:ascii="Arial" w:cs="Arial" w:eastAsia="Arial" w:hAnsi="Arial"/>
                <w:sz w:val="18"/>
                <w:szCs w:val="18"/>
                <w:color w:val="auto"/>
              </w:rPr>
              <w:t>289,642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(289,642)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expired due to termination of 2008 Plan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(449,005)</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at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3,124,254</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15,721,085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165,906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exercisable at December 31, 2018</w:t>
            </w: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7,499,936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0.95</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Options vested and expected to vest at</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15,721,085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December 31, 2019</w:t>
            </w:r>
          </w:p>
        </w:tc>
        <w:tc>
          <w:tcPr>
            <w:tcW w:w="8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165,906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Options exercisable at December 31, 2019</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4,349,090</w:t>
            </w:r>
          </w:p>
        </w:tc>
        <w:tc>
          <w:tcPr>
            <w:tcW w:w="8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The total intrinsic value of options exercised was $50,846 and $59,000 for the years ended December 31, 2019 and 2018, respectively.</w:t>
      </w:r>
    </w:p>
    <w:p>
      <w:pPr>
        <w:spacing w:after="0" w:line="170"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$2.68 and $1.14 in the years ended December 31, 2019 and 2018, respectively.</w:t>
      </w:r>
    </w:p>
    <w:p>
      <w:pPr>
        <w:spacing w:after="0" w:line="170"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fair value of options to purchase common stock vested was $2.8 million and $3.7 million in the years ended December 31, 2019 and 2018.</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Immediately prior to the IPO, options representing 1,311,944 shares of common stock were exercised at an average exercise price of $0.94.</w:t>
      </w:r>
    </w:p>
    <w:p>
      <w:pPr>
        <w:spacing w:after="0" w:line="170"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Certain weighted-average information and assumptions used in the option-pricing model for options granted to employees, directors, and non-employees are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6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- 6.10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ind w:left="40"/>
              <w:spacing w:after="0"/>
              <w:rPr>
                <w:sz w:val="20"/>
                <w:szCs w:val="20"/>
                <w:color w:val="auto"/>
              </w:rPr>
            </w:pPr>
            <w:r>
              <w:rPr>
                <w:rFonts w:ascii="Arial" w:cs="Arial" w:eastAsia="Arial" w:hAnsi="Arial"/>
                <w:sz w:val="18"/>
                <w:szCs w:val="18"/>
                <w:color w:val="auto"/>
              </w:rPr>
              <w:t>- 2.5%</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ind w:left="60"/>
              <w:spacing w:after="0"/>
              <w:rPr>
                <w:sz w:val="20"/>
                <w:szCs w:val="20"/>
                <w:color w:val="auto"/>
              </w:rPr>
            </w:pPr>
            <w:r>
              <w:rPr>
                <w:rFonts w:ascii="Arial" w:cs="Arial" w:eastAsia="Arial" w:hAnsi="Arial"/>
                <w:sz w:val="18"/>
                <w:szCs w:val="18"/>
                <w:color w:val="auto"/>
              </w:rPr>
              <w:t>- 3.1%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48.6%</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- 49.0%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48.1%</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- 48.9%</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50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for employees, which was included in the statements of operations and comprehensive loss as follows (in thousands):</w:t>
      </w:r>
    </w:p>
    <w:p>
      <w:pPr>
        <w:spacing w:after="0" w:line="175"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 Ended</w:t>
      </w:r>
    </w:p>
    <w:p>
      <w:pPr>
        <w:ind w:left="64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45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17"/>
        </w:trPr>
        <w:tc>
          <w:tcPr>
            <w:tcW w:w="458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r>
    </w:tbl>
    <w:p>
      <w:pPr>
        <w:spacing w:after="0" w:line="202"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At December 31, 2019, the total compensation cost related to unvested stock-based awards granted to employees under the Company’s stock option plan but not yet recognized was approximately $19.3 million. This cost will be amortized on a straight-line basis over the remaining vesting period and will be adjusted for subsequent changes in estimated forfeitures. The weighted-average remaining recognition period is approximately 3.1 years.</w:t>
      </w:r>
    </w:p>
    <w:p>
      <w:pPr>
        <w:spacing w:after="0" w:line="171"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In February and June of 2016, the Company issued common stock warrants to non-employees to acquire 71,280 and 69,114 shares of the Company’s common stock at an exercise price of $0.86 and $1.41 per share, respectively. The common stock warrants expire on the fifth anniversary of the grant. As of December 31, 2017 and 2018, all warrants remain outstanding. In 2019, 482,661 warrants were exercised for 441,307 shares of common stock at a weighted average exercise price of $1.59. In addition, 69,114 warrants were cancelled in 2019. For the years ended December 31, 2017 and 2018, the Company recognized total compensation expense $259,000, relating to the common stock warrants. All warrants were fully vested as of January 1, 2019. As a result of the adoption of ASU No. 2018-07, mark-to-market fair value accounting is not required and as all warrants were fully vested as of January 1, 2018, the Company did not recognize compensation expense relating to the common stock warrants for the year ended December 31, 2019.</w:t>
      </w:r>
    </w:p>
    <w:p>
      <w:pPr>
        <w:spacing w:after="0" w:line="166"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The fair value of the common stock warrants was determined using the Black-Scholes option-pricing model with the following assumptions: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Contractual remaining life (years)</w:t>
            </w:r>
          </w:p>
        </w:tc>
        <w:tc>
          <w:tcPr>
            <w:tcW w:w="30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9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r>
      <w:tr>
        <w:trPr>
          <w:trHeight w:val="647"/>
        </w:trPr>
        <w:tc>
          <w:tcPr>
            <w:tcW w:w="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00" w:type="dxa"/>
            <w:vAlign w:val="bottom"/>
          </w:tcPr>
          <w:p>
            <w:pPr>
              <w:jc w:val="right"/>
              <w:ind w:right="2210"/>
              <w:spacing w:after="0"/>
              <w:rPr>
                <w:sz w:val="20"/>
                <w:szCs w:val="20"/>
                <w:color w:val="auto"/>
              </w:rPr>
            </w:pPr>
            <w:r>
              <w:rPr>
                <w:rFonts w:ascii="Arial" w:cs="Arial" w:eastAsia="Arial" w:hAnsi="Arial"/>
                <w:sz w:val="18"/>
                <w:szCs w:val="18"/>
                <w:color w:val="auto"/>
              </w:rPr>
              <w:t>98</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40" w:right="779" w:firstLine="648"/>
        <w:spacing w:after="0" w:line="277" w:lineRule="auto"/>
        <w:rPr>
          <w:sz w:val="20"/>
          <w:szCs w:val="20"/>
          <w:color w:val="auto"/>
        </w:rPr>
      </w:pPr>
      <w:r>
        <w:rPr>
          <w:rFonts w:ascii="Arial" w:cs="Arial" w:eastAsia="Arial" w:hAnsi="Arial"/>
          <w:sz w:val="18"/>
          <w:szCs w:val="18"/>
          <w:color w:val="auto"/>
        </w:rPr>
        <w:t>A tax provision of $12,000, and a tax benefit of $1.8 million and $3,000 was recorded for the year ended December 31, 2019, 2018, and 2017, respectively, as part of continuing operations.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provision/(benefit) from income taxes is composed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(1,446)</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600" w:type="dxa"/>
            <w:vAlign w:val="bottom"/>
          </w:tcPr>
          <w:p>
            <w:pPr>
              <w:ind w:left="100"/>
              <w:spacing w:after="0"/>
              <w:rPr>
                <w:sz w:val="20"/>
                <w:szCs w:val="20"/>
                <w:color w:val="auto"/>
              </w:rPr>
            </w:pPr>
            <w:r>
              <w:rPr>
                <w:rFonts w:ascii="Arial" w:cs="Arial" w:eastAsia="Arial" w:hAnsi="Arial"/>
                <w:sz w:val="18"/>
                <w:szCs w:val="18"/>
                <w:color w:val="auto"/>
              </w:rPr>
              <w:t>Total Current</w:t>
            </w:r>
          </w:p>
        </w:tc>
        <w:tc>
          <w:tcPr>
            <w:tcW w:w="4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Federal</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Total Deferred</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provision/(benefit) from Income taxes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8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at statutory rate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Warrant valuation</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1300" w:type="dxa"/>
            <w:vAlign w:val="bottom"/>
            <w:gridSpan w:val="3"/>
          </w:tcPr>
          <w:p>
            <w:pPr>
              <w:jc w:val="right"/>
              <w:ind w:right="39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Effect of tax legislation</w:t>
            </w:r>
          </w:p>
        </w:tc>
        <w:tc>
          <w:tcPr>
            <w:tcW w:w="8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(97)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State rate change</w:t>
            </w:r>
          </w:p>
        </w:tc>
        <w:tc>
          <w:tcPr>
            <w:tcW w:w="8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1300" w:type="dxa"/>
            <w:vAlign w:val="bottom"/>
            <w:gridSpan w:val="3"/>
          </w:tcPr>
          <w:p>
            <w:pPr>
              <w:jc w:val="right"/>
              <w:ind w:right="39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tcBorders>
              <w:top w:val="single" w:sz="8" w:color="CCEEFF"/>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Deferred Tax Balances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net deferred tax assets and liabilities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r>
      <w:tr>
        <w:trPr>
          <w:trHeight w:val="209"/>
        </w:trPr>
        <w:tc>
          <w:tcPr>
            <w:tcW w:w="9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24,104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22,446</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shd w:val="clear" w:color="auto" w:fill="CCEEFF"/>
          </w:tcPr>
          <w:p>
            <w:pPr>
              <w:ind w:left="100"/>
              <w:spacing w:after="0" w:line="207" w:lineRule="exact"/>
              <w:rPr>
                <w:sz w:val="20"/>
                <w:szCs w:val="20"/>
                <w:color w:val="auto"/>
              </w:rPr>
            </w:pPr>
            <w:r>
              <w:rPr>
                <w:rFonts w:ascii="Arial" w:cs="Arial" w:eastAsia="Arial" w:hAnsi="Arial"/>
                <w:sz w:val="18"/>
                <w:szCs w:val="18"/>
                <w:color w:val="auto"/>
              </w:rPr>
              <w:t>Capitalized start</w:t>
            </w:r>
            <w:r>
              <w:rPr>
                <w:rFonts w:ascii="MS PGothic" w:cs="MS PGothic" w:eastAsia="MS PGothic" w:hAnsi="MS PGothic"/>
                <w:sz w:val="18"/>
                <w:szCs w:val="18"/>
                <w:color w:val="auto"/>
              </w:rPr>
              <w:t>‑</w:t>
            </w:r>
            <w:r>
              <w:rPr>
                <w:rFonts w:ascii="Arial" w:cs="Arial" w:eastAsia="Arial" w:hAnsi="Arial"/>
                <w:sz w:val="18"/>
                <w:szCs w:val="18"/>
                <w:color w:val="auto"/>
              </w:rPr>
              <w:t>up costs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Research and development credits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Accruals and reserves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1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25,827</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(28,743)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Deferred tax assets after valuation allowance</w:t>
            </w:r>
          </w:p>
        </w:tc>
        <w:tc>
          <w:tcPr>
            <w:tcW w:w="1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Deferred gain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7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648"/>
        </w:trPr>
        <w:tc>
          <w:tcPr>
            <w:tcW w:w="9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jc w:val="right"/>
              <w:ind w:right="137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648"/>
        <w:spacing w:after="0" w:line="271" w:lineRule="auto"/>
        <w:rPr>
          <w:sz w:val="20"/>
          <w:szCs w:val="20"/>
          <w:color w:val="auto"/>
        </w:rPr>
      </w:pPr>
      <w:r>
        <w:rPr>
          <w:rFonts w:ascii="Arial" w:cs="Arial" w:eastAsia="Arial" w:hAnsi="Arial"/>
          <w:sz w:val="17"/>
          <w:szCs w:val="17"/>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 The valuation allowance decreased by approximately $1.1 million during the year ended December 31, 2018 and increased by $2.9 million during the year ended December 31, 2019. As of December 31, 2019, the Company continues to maintain a full valuation allowance against its net deferred tax assets.</w:t>
      </w:r>
    </w:p>
    <w:p>
      <w:pPr>
        <w:spacing w:after="0" w:line="178"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As of December 31, 2019, the Company has net operating loss carryforwards for federal and state income tax purposes of approximately $92 million and $71 million, respectively, which expire beginning in the year 2031. The federal and California research and development tax credits are approximately $729,000 and $830,000 respectively. The federal research credits will begin to expire in 2030 and the California research and development credits have no expiration date. Utilization of the net operating loss carryforwards and credits may be subject to a substantial annual limitation due to ownership changes that may have occurred previously or that could occur in the future, as provided by Section 382 of the Internal Revenue Code of 1986, as well as similar state provisions. Such annual limitation could result in the expiration of net operating losses and credits before their utilization. The Company has not performed a detailed analysis to determine if an ownership change has occurred as a result of the initial public offering.</w:t>
      </w:r>
    </w:p>
    <w:p>
      <w:pPr>
        <w:spacing w:after="0" w:line="181"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of December 31, 2019 and 2018, the Company had not accrued any interest or penalties related to uncertain tax positions.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Unrecognized Tax Benefits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8"/>
              </w:rPr>
              <w:t>Reductions based upon tax positions related to the current year</w:t>
            </w:r>
          </w:p>
        </w:tc>
        <w:tc>
          <w:tcPr>
            <w:tcW w:w="14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bl>
    <w:p>
      <w:pPr>
        <w:spacing w:after="0" w:line="202"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None of unrecognized tax benefits would materially impact the effective tax rate if realized during the year due to the Company’s full valuation allowance position. The Company does not anticipate any material change in its unrecognized tax benefits over the next twelve months.</w:t>
      </w:r>
    </w:p>
    <w:p>
      <w:pPr>
        <w:spacing w:after="0" w:line="184"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124"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The Tax Cuts and Jobs Act (the “Tax Act”) was enacted on December 22, 2017 and introduced significant changes to U.S. income tax law. Effective in 2018, The Tax Act reduced the U.S. corporate statutory tax rate from 35% to 21%, allowed for immediate expensing of certain qualified capital property, eliminated the net operating loss carryback but allowed for indefinite net operating loss carryforwards that can reduce up to 80% of taxable income and created a new limitation on the deductibility of interest expense.</w:t>
      </w:r>
    </w:p>
    <w:p>
      <w:pPr>
        <w:spacing w:after="0" w:line="188"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Accounting for the income tax effects of the Tax Act requires significant judgments and estimates in the interpretation and calculation of the provisions of the Tax Act. Due to the timing of the enactment and the complexity involved in applying the provisions of the Tax Act, the Company made reasonable estimates of the effects of the Tax Act in the consolidated financial statements for the year ended December 31, 2017, as permitted under ASU 2018-05 Income Taxes (Topic 740), Amendments to SEC Paragraphs Pursuant to SAB 118.</w:t>
      </w:r>
    </w:p>
    <w:p>
      <w:pPr>
        <w:spacing w:after="0" w:line="176" w:lineRule="exact"/>
        <w:rPr>
          <w:sz w:val="20"/>
          <w:szCs w:val="20"/>
          <w:color w:val="auto"/>
        </w:rPr>
      </w:pPr>
    </w:p>
    <w:p>
      <w:pPr>
        <w:jc w:val="both"/>
        <w:ind w:left="40" w:right="239" w:firstLine="648"/>
        <w:spacing w:after="0" w:line="311" w:lineRule="auto"/>
        <w:rPr>
          <w:sz w:val="20"/>
          <w:szCs w:val="20"/>
          <w:color w:val="auto"/>
        </w:rPr>
      </w:pPr>
      <w:r>
        <w:rPr>
          <w:rFonts w:ascii="Arial" w:cs="Arial" w:eastAsia="Arial" w:hAnsi="Arial"/>
          <w:sz w:val="16"/>
          <w:szCs w:val="16"/>
          <w:color w:val="auto"/>
        </w:rPr>
        <w:t>The remeasurement of the Company’s U.S. deferred taxes due to the reduction in the U.S. federal corporate tax rate resulted in a reduction of deferred tax assets offset by a reduction of the Company’s valuation allowance, resulting in no net income impact during the year ended December 31, 2017. The accounting for these items was completed in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color w:val="auto"/>
        </w:rPr>
        <w:t>fourth quarter of 2018, the end of the measurement period for purposes of SAB 118, and there were no adjustments related to the provisional items.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ind w:left="40" w:right="579" w:firstLine="648"/>
        <w:spacing w:after="0" w:line="342" w:lineRule="auto"/>
        <w:rPr>
          <w:sz w:val="20"/>
          <w:szCs w:val="20"/>
          <w:color w:val="auto"/>
        </w:rPr>
      </w:pPr>
      <w:r>
        <w:rPr>
          <w:rFonts w:ascii="Arial" w:cs="Arial" w:eastAsia="Arial" w:hAnsi="Arial"/>
          <w:sz w:val="16"/>
          <w:szCs w:val="16"/>
          <w:color w:val="auto"/>
        </w:rPr>
        <w:t>A reconciliation of net income (loss) available to common stockholders and the number of shares in the calculation of basic and diluted earnings (loss) per share follows (in thousands, except share and per share amounts):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(loss) per common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from discontinued operations, net of tax</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Deemed dividends on convertible preferred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Undistributed earnings to participating securities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Weighted-average shares used in computing basic and diluted loss per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attributable to common stockholders</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20,735,202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5,539,739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5,677,860</w:t>
            </w:r>
          </w:p>
        </w:tc>
        <w:tc>
          <w:tcPr>
            <w:tcW w:w="0" w:type="dxa"/>
            <w:vAlign w:val="bottom"/>
          </w:tcPr>
          <w:p>
            <w:pPr>
              <w:spacing w:after="0"/>
              <w:rPr>
                <w:sz w:val="1"/>
                <w:szCs w:val="1"/>
                <w:color w:val="auto"/>
              </w:rPr>
            </w:pPr>
          </w:p>
        </w:tc>
      </w:tr>
      <w:tr>
        <w:trPr>
          <w:trHeight w:val="182"/>
        </w:trPr>
        <w:tc>
          <w:tcPr>
            <w:tcW w:w="5560" w:type="dxa"/>
            <w:vAlign w:val="bottom"/>
          </w:tcPr>
          <w:p>
            <w:pPr>
              <w:ind w:left="120"/>
              <w:spacing w:after="0" w:line="182" w:lineRule="exact"/>
              <w:rPr>
                <w:sz w:val="20"/>
                <w:szCs w:val="20"/>
                <w:color w:val="auto"/>
              </w:rPr>
            </w:pPr>
            <w:r>
              <w:rPr>
                <w:rFonts w:ascii="Arial" w:cs="Arial" w:eastAsia="Arial" w:hAnsi="Arial"/>
                <w:sz w:val="18"/>
                <w:szCs w:val="18"/>
                <w:color w:val="auto"/>
                <w:w w:val="96"/>
              </w:rPr>
              <w:t>Basic and diluted net earnings (loss) per share attributable to common</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(0.41)</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4"/>
        </w:trPr>
        <w:tc>
          <w:tcPr>
            <w:tcW w:w="556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26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Diluted (loss) income per common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(8,569)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undistributed earnings of participating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Diluted net (loss) income per share attributable to common stockholders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Weighted-average shares used in computing basic net earnings (loss) per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attributable to common stockholder</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20,735,202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5,539,739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5,677,860</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Add options to purchase 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5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w w:val="93"/>
              </w:rPr>
              <w:t>Weighted-average shares used in computing basic net (loss) income per</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attributable to common stockholders</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20,735,202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5,539,739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5,677,860</w:t>
            </w:r>
          </w:p>
        </w:tc>
        <w:tc>
          <w:tcPr>
            <w:tcW w:w="0" w:type="dxa"/>
            <w:vAlign w:val="bottom"/>
          </w:tcPr>
          <w:p>
            <w:pPr>
              <w:spacing w:after="0"/>
              <w:rPr>
                <w:sz w:val="1"/>
                <w:szCs w:val="1"/>
                <w:color w:val="auto"/>
              </w:rPr>
            </w:pPr>
          </w:p>
        </w:tc>
      </w:tr>
      <w:tr>
        <w:trPr>
          <w:trHeight w:val="217"/>
        </w:trPr>
        <w:tc>
          <w:tcPr>
            <w:tcW w:w="5560" w:type="dxa"/>
            <w:vAlign w:val="bottom"/>
          </w:tcPr>
          <w:p>
            <w:pPr>
              <w:ind w:left="220"/>
              <w:spacing w:after="0"/>
              <w:rPr>
                <w:sz w:val="20"/>
                <w:szCs w:val="20"/>
                <w:color w:val="auto"/>
              </w:rPr>
            </w:pPr>
            <w:r>
              <w:rPr>
                <w:rFonts w:ascii="Arial" w:cs="Arial" w:eastAsia="Arial" w:hAnsi="Arial"/>
                <w:sz w:val="18"/>
                <w:szCs w:val="18"/>
                <w:color w:val="auto"/>
                <w:w w:val="92"/>
              </w:rPr>
              <w:t>Diluted net (loss) income per share attributable to common stockholders</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attributable to common stockholders for the period presented because including them would have been antidilutive:</w:t>
      </w:r>
    </w:p>
    <w:p>
      <w:pPr>
        <w:spacing w:after="0" w:line="18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Year Ended</w:t>
      </w:r>
    </w:p>
    <w:p>
      <w:pPr>
        <w:ind w:left="70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92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65,960,205</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62,078,914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13,610,441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6,025,473</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339,452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122,882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60,168</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9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260,239</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potential dilutive shares</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13,733,323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72,306,085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62,432,534</w:t>
            </w:r>
          </w:p>
        </w:tc>
      </w:tr>
      <w:tr>
        <w:trPr>
          <w:trHeight w:val="648"/>
        </w:trPr>
        <w:tc>
          <w:tcPr>
            <w:tcW w:w="3920" w:type="dxa"/>
            <w:vAlign w:val="bottom"/>
          </w:tcPr>
          <w:p>
            <w:pPr>
              <w:spacing w:after="0"/>
              <w:rPr>
                <w:sz w:val="24"/>
                <w:szCs w:val="24"/>
                <w:color w:val="auto"/>
              </w:rPr>
            </w:pPr>
          </w:p>
        </w:tc>
        <w:tc>
          <w:tcPr>
            <w:tcW w:w="1960" w:type="dxa"/>
            <w:vAlign w:val="bottom"/>
          </w:tcPr>
          <w:p>
            <w:pPr>
              <w:jc w:val="right"/>
              <w:ind w:right="1190"/>
              <w:spacing w:after="0"/>
              <w:rPr>
                <w:sz w:val="20"/>
                <w:szCs w:val="20"/>
                <w:color w:val="auto"/>
              </w:rPr>
            </w:pPr>
            <w:r>
              <w:rPr>
                <w:rFonts w:ascii="Arial" w:cs="Arial" w:eastAsia="Arial" w:hAnsi="Arial"/>
                <w:sz w:val="18"/>
                <w:szCs w:val="18"/>
                <w:color w:val="auto"/>
              </w:rPr>
              <w:t>101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60"/>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401(k) Plan and ESPP</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The Company sponsors a 401(k) defined contribution plan covering all employees. Employer contributions began in 2018 and the Company incurred expenses for the year ended December 31, 2018 of $263,000. For the year ended December 31, 2019 the Company incurred expenses of $355,000.</w:t>
      </w:r>
    </w:p>
    <w:p>
      <w:pPr>
        <w:spacing w:after="0" w:line="184"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In October 2019, the Board of Directors and stockholders also adopted and approved the 2019 Employee Stock Purchase Plan (the “ESPP”). Following the IPO, the ESPP authorized the issuance of 1,700,000 shares of common stock to purchase rights granted to our employees or to employees of our designated affiliates. As of December 31, 2019, zero shares of common stock have been purchased. The first purchase period will commence on July 31, 2020.</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In January 2018, the Company executed an agreement with a related party to sell the Eeva business, representing all of the medical device segment. Refer to Note 6.</w:t>
      </w:r>
    </w:p>
    <w:p>
      <w:pPr>
        <w:spacing w:after="0" w:line="170" w:lineRule="exact"/>
        <w:rPr>
          <w:sz w:val="20"/>
          <w:szCs w:val="20"/>
          <w:color w:val="auto"/>
        </w:rPr>
      </w:pPr>
    </w:p>
    <w:p>
      <w:pPr>
        <w:jc w:val="both"/>
        <w:ind w:left="40" w:right="259" w:firstLine="648"/>
        <w:spacing w:after="0" w:line="279" w:lineRule="auto"/>
        <w:rPr>
          <w:sz w:val="20"/>
          <w:szCs w:val="20"/>
          <w:color w:val="auto"/>
        </w:rPr>
      </w:pPr>
      <w:r>
        <w:rPr>
          <w:rFonts w:ascii="Arial" w:cs="Arial" w:eastAsia="Arial" w:hAnsi="Arial"/>
          <w:sz w:val="17"/>
          <w:szCs w:val="17"/>
          <w:color w:val="auto"/>
        </w:rPr>
        <w:t>In June 2018, the Company redeemed and retired 1,202,196 Series B convertible preferred stock from a former employee pursuant to their contractual right of first refusal at a purchase price of $2.5 million The excess of the purchase price over the carrying value $(1.73) of $425,000 has been recorded as a dividend in accumulated deficit as of December 31, 2018. Refer to Note 12 for further detail on this transaction.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Unaudited Quarterly Results of Operations Data</w:t>
      </w:r>
    </w:p>
    <w:p>
      <w:pPr>
        <w:spacing w:after="0" w:line="229"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The following table sets forth our unaudited quarterly consolidated results of operations for each of the eight quarterly periods in the period ended December 31, 2019. Our unaudited quarterly results of operations have been prepared on the same basis as our audited consolidated financial statements, and we believe they reflect all normal recurring adjustments necessary for the fair statement of our results of operations for these periods. This information should be read in conjunction with our consolidated financial statements and related notes included elsewhere in this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Annual Report. Our historical operating data may not be indicative of our future performance.</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89"/>
              <w:spacing w:after="0" w:line="110" w:lineRule="exact"/>
              <w:rPr>
                <w:sz w:val="20"/>
                <w:szCs w:val="20"/>
                <w:color w:val="auto"/>
              </w:rPr>
            </w:pPr>
            <w:r>
              <w:rPr>
                <w:rFonts w:ascii="Arial" w:cs="Arial" w:eastAsia="Arial" w:hAnsi="Arial"/>
                <w:sz w:val="12"/>
                <w:szCs w:val="12"/>
                <w:b w:val="1"/>
                <w:bCs w:val="1"/>
                <w:color w:val="auto"/>
              </w:rPr>
              <w:t>Mar. 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89"/>
              <w:spacing w:after="0" w:line="110" w:lineRule="exact"/>
              <w:rPr>
                <w:sz w:val="20"/>
                <w:szCs w:val="20"/>
                <w:color w:val="auto"/>
              </w:rPr>
            </w:pPr>
            <w:r>
              <w:rPr>
                <w:rFonts w:ascii="Arial" w:cs="Arial" w:eastAsia="Arial" w:hAnsi="Arial"/>
                <w:sz w:val="12"/>
                <w:szCs w:val="12"/>
                <w:b w:val="1"/>
                <w:bCs w:val="1"/>
                <w:color w:val="auto"/>
              </w:rPr>
              <w:t>Jun. 30,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109"/>
              <w:spacing w:after="0" w:line="110" w:lineRule="exact"/>
              <w:rPr>
                <w:sz w:val="20"/>
                <w:szCs w:val="20"/>
                <w:color w:val="auto"/>
              </w:rPr>
            </w:pPr>
            <w:r>
              <w:rPr>
                <w:rFonts w:ascii="Arial" w:cs="Arial" w:eastAsia="Arial" w:hAnsi="Arial"/>
                <w:sz w:val="12"/>
                <w:szCs w:val="12"/>
                <w:b w:val="1"/>
                <w:bCs w:val="1"/>
                <w:color w:val="auto"/>
              </w:rPr>
              <w:t>Sep. 30,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90"/>
              <w:spacing w:after="0" w:line="110" w:lineRule="exact"/>
              <w:rPr>
                <w:sz w:val="20"/>
                <w:szCs w:val="20"/>
                <w:color w:val="auto"/>
              </w:rPr>
            </w:pPr>
            <w:r>
              <w:rPr>
                <w:rFonts w:ascii="Arial" w:cs="Arial" w:eastAsia="Arial" w:hAnsi="Arial"/>
                <w:sz w:val="12"/>
                <w:szCs w:val="12"/>
                <w:b w:val="1"/>
                <w:bCs w:val="1"/>
                <w:color w:val="auto"/>
              </w:rPr>
              <w:t>Dec. 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109"/>
              <w:spacing w:after="0" w:line="110" w:lineRule="exact"/>
              <w:rPr>
                <w:sz w:val="20"/>
                <w:szCs w:val="20"/>
                <w:color w:val="auto"/>
              </w:rPr>
            </w:pPr>
            <w:r>
              <w:rPr>
                <w:rFonts w:ascii="Arial" w:cs="Arial" w:eastAsia="Arial" w:hAnsi="Arial"/>
                <w:sz w:val="12"/>
                <w:szCs w:val="12"/>
                <w:b w:val="1"/>
                <w:bCs w:val="1"/>
                <w:color w:val="auto"/>
              </w:rPr>
              <w:t>Mar. 31,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ind w:right="109"/>
              <w:spacing w:after="0" w:line="110" w:lineRule="exact"/>
              <w:rPr>
                <w:sz w:val="20"/>
                <w:szCs w:val="20"/>
                <w:color w:val="auto"/>
              </w:rPr>
            </w:pPr>
            <w:r>
              <w:rPr>
                <w:rFonts w:ascii="Arial" w:cs="Arial" w:eastAsia="Arial" w:hAnsi="Arial"/>
                <w:sz w:val="12"/>
                <w:szCs w:val="12"/>
                <w:b w:val="1"/>
                <w:bCs w:val="1"/>
                <w:color w:val="auto"/>
              </w:rPr>
              <w:t>Jun. 30,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right"/>
              <w:ind w:right="89"/>
              <w:spacing w:after="0" w:line="110" w:lineRule="exact"/>
              <w:rPr>
                <w:sz w:val="20"/>
                <w:szCs w:val="20"/>
                <w:color w:val="auto"/>
              </w:rPr>
            </w:pPr>
            <w:r>
              <w:rPr>
                <w:rFonts w:ascii="Arial" w:cs="Arial" w:eastAsia="Arial" w:hAnsi="Arial"/>
                <w:sz w:val="12"/>
                <w:szCs w:val="12"/>
                <w:b w:val="1"/>
                <w:bCs w:val="1"/>
                <w:color w:val="auto"/>
              </w:rPr>
              <w:t>Sep. 30,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rPr>
              <w:t>Dec. 31,</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4"/>
          </w:tcPr>
          <w:p>
            <w:pPr>
              <w:jc w:val="right"/>
              <w:ind w:right="369"/>
              <w:spacing w:after="0" w:line="129"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22,258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47,197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56,168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61,196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65,122</w:t>
            </w:r>
          </w:p>
        </w:tc>
        <w:tc>
          <w:tcPr>
            <w:tcW w:w="0" w:type="dxa"/>
            <w:vAlign w:val="bottom"/>
          </w:tcPr>
          <w:p>
            <w:pPr>
              <w:spacing w:after="0"/>
              <w:rPr>
                <w:sz w:val="1"/>
                <w:szCs w:val="1"/>
                <w:color w:val="auto"/>
              </w:rPr>
            </w:pPr>
          </w:p>
        </w:tc>
      </w:tr>
      <w:tr>
        <w:trPr>
          <w:trHeight w:val="148"/>
        </w:trPr>
        <w:tc>
          <w:tcPr>
            <w:tcW w:w="1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Cost of services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18,324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21,119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22,751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23,772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37,233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44,716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48,876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53,353</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11,452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12,320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11,769</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w w:val="95"/>
              </w:rPr>
              <w:t>General and administrative</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3,624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3,975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5,981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6,068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5,779</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5,355</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5,634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6,118</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6,854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10,625</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2"/>
                <w:szCs w:val="12"/>
                <w:color w:val="auto"/>
              </w:rPr>
              <w:t>(Loss) income from</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operations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Interest expense,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30"/>
        </w:trPr>
        <w:tc>
          <w:tcPr>
            <w:tcW w:w="1740" w:type="dxa"/>
            <w:vAlign w:val="bottom"/>
          </w:tcPr>
          <w:p>
            <w:pPr>
              <w:ind w:left="120"/>
              <w:spacing w:after="0" w:line="130" w:lineRule="exact"/>
              <w:rPr>
                <w:sz w:val="20"/>
                <w:szCs w:val="20"/>
                <w:color w:val="auto"/>
              </w:rPr>
            </w:pPr>
            <w:r>
              <w:rPr>
                <w:rFonts w:ascii="Arial" w:cs="Arial" w:eastAsia="Arial" w:hAnsi="Arial"/>
                <w:sz w:val="14"/>
                <w:szCs w:val="14"/>
                <w:color w:val="auto"/>
              </w:rPr>
              <w:t>Convertible preferred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stock warrant valuation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adjustment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w w:val="99"/>
              </w:rPr>
              <w:t>Total other expense, net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(945)</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(589)</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(5,621)</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2"/>
                <w:szCs w:val="12"/>
                <w:color w:val="auto"/>
              </w:rPr>
              <w:t>(Loss) income from</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continuing operations,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20"/>
                <w:szCs w:val="20"/>
                <w:color w:val="auto"/>
              </w:rPr>
            </w:pPr>
            <w:r>
              <w:rPr>
                <w:rFonts w:ascii="Arial" w:cs="Arial" w:eastAsia="Arial" w:hAnsi="Arial"/>
                <w:sz w:val="14"/>
                <w:szCs w:val="14"/>
                <w:color w:val="auto"/>
              </w:rPr>
              <w:t>before tax</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(4,477)</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Benefit (provision) for</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10"/>
        </w:trPr>
        <w:tc>
          <w:tcPr>
            <w:tcW w:w="1740" w:type="dxa"/>
            <w:vAlign w:val="bottom"/>
          </w:tcPr>
          <w:p>
            <w:pPr>
              <w:spacing w:after="0" w:line="110" w:lineRule="exact"/>
              <w:rPr>
                <w:sz w:val="20"/>
                <w:szCs w:val="20"/>
                <w:color w:val="auto"/>
              </w:rPr>
            </w:pPr>
            <w:r>
              <w:rPr>
                <w:rFonts w:ascii="Arial" w:cs="Arial" w:eastAsia="Arial" w:hAnsi="Arial"/>
                <w:sz w:val="12"/>
                <w:szCs w:val="12"/>
                <w:color w:val="auto"/>
              </w:rPr>
              <w:t>Net (loss) income from</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continuing operations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110"/>
        </w:trPr>
        <w:tc>
          <w:tcPr>
            <w:tcW w:w="174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Net income from</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discontinued operations,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of taxes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5,724</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(loss) income</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(8,210)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116"/>
        </w:trPr>
        <w:tc>
          <w:tcPr>
            <w:tcW w:w="17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Net (loss) income</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attributable to common</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0" w:type="dxa"/>
            <w:vAlign w:val="bottom"/>
          </w:tcPr>
          <w:p>
            <w:pPr>
              <w:spacing w:after="0"/>
              <w:rPr>
                <w:sz w:val="1"/>
                <w:szCs w:val="1"/>
                <w:color w:val="auto"/>
              </w:rPr>
            </w:pPr>
          </w:p>
        </w:tc>
      </w:tr>
      <w:tr>
        <w:trPr>
          <w:trHeight w:val="174"/>
        </w:trPr>
        <w:tc>
          <w:tcPr>
            <w:tcW w:w="17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stockholders</w:t>
            </w:r>
          </w:p>
        </w:tc>
        <w:tc>
          <w:tcPr>
            <w:tcW w:w="1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740" w:type="dxa"/>
            <w:vAlign w:val="bottom"/>
            <w:tcBorders>
              <w:top w:val="single" w:sz="8" w:color="CCEEFF"/>
            </w:tcBorders>
          </w:tcPr>
          <w:p>
            <w:pPr>
              <w:spacing w:after="0" w:line="103" w:lineRule="exact"/>
              <w:rPr>
                <w:sz w:val="20"/>
                <w:szCs w:val="20"/>
                <w:color w:val="auto"/>
              </w:rPr>
            </w:pPr>
            <w:r>
              <w:rPr>
                <w:rFonts w:ascii="Arial" w:cs="Arial" w:eastAsia="Arial" w:hAnsi="Arial"/>
                <w:sz w:val="11"/>
                <w:szCs w:val="11"/>
                <w:color w:val="auto"/>
              </w:rPr>
              <w:t>Net loss per share</w:t>
            </w: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attributable to 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20"/>
                <w:szCs w:val="20"/>
                <w:color w:val="auto"/>
              </w:rPr>
            </w:pPr>
            <w:r>
              <w:rPr>
                <w:rFonts w:ascii="Arial" w:cs="Arial" w:eastAsia="Arial" w:hAnsi="Arial"/>
                <w:sz w:val="14"/>
                <w:szCs w:val="14"/>
                <w:color w:val="auto"/>
              </w:rPr>
              <w:t>stockholders: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Continuing operations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Discontinued operations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1740" w:type="dxa"/>
            <w:vAlign w:val="bottom"/>
          </w:tcPr>
          <w:p>
            <w:pPr>
              <w:ind w:left="120"/>
              <w:spacing w:after="0" w:line="110" w:lineRule="exact"/>
              <w:rPr>
                <w:sz w:val="20"/>
                <w:szCs w:val="20"/>
                <w:color w:val="auto"/>
              </w:rPr>
            </w:pPr>
            <w:r>
              <w:rPr>
                <w:rFonts w:ascii="Arial" w:cs="Arial" w:eastAsia="Arial" w:hAnsi="Arial"/>
                <w:sz w:val="12"/>
                <w:szCs w:val="12"/>
                <w:color w:val="auto"/>
              </w:rPr>
              <w:t>Total net loss per share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attributable to 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20"/>
              <w:spacing w:after="0" w:line="149" w:lineRule="exact"/>
              <w:rPr>
                <w:sz w:val="20"/>
                <w:szCs w:val="20"/>
                <w:color w:val="auto"/>
              </w:rPr>
            </w:pPr>
            <w:r>
              <w:rPr>
                <w:rFonts w:ascii="Arial" w:cs="Arial" w:eastAsia="Arial" w:hAnsi="Arial"/>
                <w:sz w:val="14"/>
                <w:szCs w:val="14"/>
                <w:color w:val="auto"/>
              </w:rPr>
              <w:t>stockholders basic and</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0.73</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(0.22)</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1"/>
        </w:trPr>
        <w:tc>
          <w:tcPr>
            <w:tcW w:w="1740" w:type="dxa"/>
            <w:vAlign w:val="bottom"/>
          </w:tcPr>
          <w:p>
            <w:pPr>
              <w:ind w:left="120"/>
              <w:spacing w:after="0" w:line="154" w:lineRule="exact"/>
              <w:rPr>
                <w:sz w:val="20"/>
                <w:szCs w:val="20"/>
                <w:color w:val="auto"/>
              </w:rPr>
            </w:pPr>
            <w:r>
              <w:rPr>
                <w:rFonts w:ascii="Arial" w:cs="Arial" w:eastAsia="Arial" w:hAnsi="Arial"/>
                <w:sz w:val="14"/>
                <w:szCs w:val="14"/>
                <w:color w:val="auto"/>
              </w:rPr>
              <w:t>diluted</w:t>
            </w:r>
          </w:p>
        </w:tc>
        <w:tc>
          <w:tcPr>
            <w:tcW w:w="1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7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color w:val="auto"/>
              </w:rPr>
              <w:t>Weighted-average shares</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used in computing net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Basic and Diluted</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5,690,083</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5,693,169</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5,627,656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5,151,859</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15,120,928</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5,172,209</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7,472,469</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64,192,100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340" w:right="17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40" w:right="239" w:firstLine="669"/>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as of the end of the period covered by this Annual Report on Form 10-K, the effectiveness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2019.</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Remediation of Material Weakness</w:t>
      </w:r>
    </w:p>
    <w:p>
      <w:pPr>
        <w:spacing w:after="0" w:line="121" w:lineRule="exact"/>
        <w:rPr>
          <w:sz w:val="20"/>
          <w:szCs w:val="20"/>
          <w:color w:val="auto"/>
        </w:rPr>
      </w:pPr>
    </w:p>
    <w:p>
      <w:pPr>
        <w:ind w:left="40" w:right="359" w:firstLine="669"/>
        <w:spacing w:after="0" w:line="279" w:lineRule="auto"/>
        <w:rPr>
          <w:sz w:val="20"/>
          <w:szCs w:val="20"/>
          <w:color w:val="auto"/>
        </w:rPr>
      </w:pPr>
      <w:r>
        <w:rPr>
          <w:rFonts w:ascii="Arial" w:cs="Arial" w:eastAsia="Arial" w:hAnsi="Arial"/>
          <w:sz w:val="17"/>
          <w:szCs w:val="17"/>
          <w:color w:val="auto"/>
        </w:rPr>
        <w:t>In connection with our audit of the fiscal year 2018 consolidated financial statements, we and our independent registered public accounting firm identified one material weakness in our controls related to the lack of review and oversight over financial reporting. We determined that we had insufficient financial statement close processes and procedures relating to the classification and presentation of certain revenue and expenses.</w:t>
      </w:r>
    </w:p>
    <w:p>
      <w:pPr>
        <w:spacing w:after="0" w:line="63" w:lineRule="exact"/>
        <w:rPr>
          <w:sz w:val="20"/>
          <w:szCs w:val="20"/>
          <w:color w:val="auto"/>
        </w:rPr>
      </w:pPr>
    </w:p>
    <w:p>
      <w:pPr>
        <w:ind w:left="40" w:right="99" w:firstLine="669"/>
        <w:spacing w:after="0" w:line="311" w:lineRule="auto"/>
        <w:rPr>
          <w:sz w:val="20"/>
          <w:szCs w:val="20"/>
          <w:color w:val="auto"/>
        </w:rPr>
      </w:pPr>
      <w:r>
        <w:rPr>
          <w:rFonts w:ascii="Arial" w:cs="Arial" w:eastAsia="Arial" w:hAnsi="Arial"/>
          <w:sz w:val="16"/>
          <w:szCs w:val="16"/>
          <w:color w:val="auto"/>
        </w:rPr>
        <w:t>During the year ended December 31, 2019, we implemented enhanced procedures to remediate the deficiencies in our internal control over financial reporting relating to the lack of review and oversight over financial reporting that resulted in a material weakness. Specific remedial actions undertaken by management included, without limitation:</w:t>
      </w:r>
    </w:p>
    <w:p>
      <w:pPr>
        <w:spacing w:after="0" w:line="149" w:lineRule="exact"/>
        <w:rPr>
          <w:sz w:val="20"/>
          <w:szCs w:val="20"/>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hiring of a senior financial executive with a focus on SEC reporting and technical accounting;</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implementation of preventative and detective procedures and controls;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analytical reviews designed to improve our annual and quarterly financial close process.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40" w:right="539" w:firstLine="669"/>
        <w:spacing w:after="0" w:line="286"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0" w:right="99" w:firstLine="669"/>
        <w:spacing w:after="0" w:line="259" w:lineRule="auto"/>
        <w:rPr>
          <w:sz w:val="20"/>
          <w:szCs w:val="20"/>
          <w:color w:val="auto"/>
        </w:rPr>
      </w:pPr>
      <w:r>
        <w:rPr>
          <w:rFonts w:ascii="Arial" w:cs="Arial" w:eastAsia="Arial" w:hAnsi="Arial"/>
          <w:sz w:val="18"/>
          <w:szCs w:val="18"/>
          <w:color w:val="auto"/>
        </w:rPr>
        <w:t>Except for the remediation measures described above, there were no changes in our internal control over financial reporting identified in connection with the evaluation required by Rule 13a-15(d) and 15d-15(d) of the Exchange Act that occurred during the quarter ended December 31, 2019 that have materially affected, or are reasonably likely to materially affect, our internal control over financial reporting.</w:t>
      </w:r>
    </w:p>
    <w:p>
      <w:pPr>
        <w:spacing w:after="0" w:line="1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Our Board of Directors has adopted a Code of Conduct applicable to all officers, directors and employees, including our principal executive officer, principal financial officer, principal accounting officer or controller, or persons performing similar functions. A copy of the code is available at the Investor Relations section of our website, located at investors.progyny.com, under “Governance—Documents and Charters.” We intend to make all disclosures required by law or Nasdaq Stock Market rules regarding any amendments to, or waivers from, any provisions of the code at the same location of our website. Our website is not incorporated by reference into this Annual Report on Form 10-K, and you should not consider information on our website to be part of this Annual Report on Form 10-K.</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8"/>
          <w:szCs w:val="18"/>
          <w:color w:val="auto"/>
        </w:rPr>
        <w:t>The remaining information required by this item will be included under the headings “Proposal 1—Election of Directors,” “Corporate Governance,” and, if applicable, “Delinquent Section 16(a) Reports” in our definitive proxy statement relating to the 2020 Annual Meeting of Stockholders to be filed with the SEC within 120 days of the fiscal year ended December 31, 2019, which we refer to as our 2020 Proxy Statement, and such required information is incorporated herein by reference into this Annual Report on Form 10-K.</w:t>
      </w:r>
    </w:p>
    <w:p>
      <w:pPr>
        <w:spacing w:after="0" w:line="184"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40" w:right="299" w:firstLine="648"/>
        <w:spacing w:after="0" w:line="263" w:lineRule="auto"/>
        <w:rPr>
          <w:sz w:val="20"/>
          <w:szCs w:val="20"/>
          <w:color w:val="auto"/>
        </w:rPr>
      </w:pPr>
      <w:r>
        <w:rPr>
          <w:rFonts w:ascii="Arial" w:cs="Arial" w:eastAsia="Arial" w:hAnsi="Arial"/>
          <w:sz w:val="18"/>
          <w:szCs w:val="18"/>
          <w:color w:val="auto"/>
        </w:rPr>
        <w:t>The information required by this item will be included under the heading “Executive Compensation,” “Director Compensation,” and “Corporate Governance” in our 2020 Proxy Statement and is hereby incorporated by reference into this Annual Report on Form 10-K.</w:t>
      </w:r>
    </w:p>
    <w:p>
      <w:pPr>
        <w:spacing w:after="0" w:line="180" w:lineRule="exact"/>
        <w:rPr>
          <w:sz w:val="20"/>
          <w:szCs w:val="20"/>
          <w:color w:val="auto"/>
        </w:rPr>
      </w:pPr>
    </w:p>
    <w:p>
      <w:pPr>
        <w:ind w:left="1340" w:right="27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The information required by this item will be included under the headings “Securities Authorized for Issuance Under Equity Compensation Plans” and “Security Ownership of Certain Beneficial Owners and Management” in our 2020 Proxy Statement and is hereby incorporated by reference into this Annual Report on Form 10 K.</w:t>
      </w:r>
    </w:p>
    <w:p>
      <w:pPr>
        <w:spacing w:after="0" w:line="161" w:lineRule="exact"/>
        <w:rPr>
          <w:sz w:val="20"/>
          <w:szCs w:val="20"/>
          <w:color w:val="auto"/>
        </w:rPr>
      </w:pPr>
    </w:p>
    <w:p>
      <w:pPr>
        <w:ind w:left="1340" w:right="71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40" w:right="319" w:firstLine="648"/>
        <w:spacing w:after="0" w:line="220" w:lineRule="exact"/>
        <w:rPr>
          <w:sz w:val="20"/>
          <w:szCs w:val="20"/>
          <w:color w:val="auto"/>
        </w:rPr>
      </w:pPr>
      <w:r>
        <w:rPr>
          <w:rFonts w:ascii="Arial" w:cs="Arial" w:eastAsia="Arial" w:hAnsi="Arial"/>
          <w:sz w:val="18"/>
          <w:szCs w:val="18"/>
          <w:color w:val="auto"/>
        </w:rPr>
        <w:t>The information required by this item will be included under the headings “Certain Relationships and Related Person Transactions,” and “Corporate Governance—Director Independence” in our 2020 Proxy Statement and is hereby incorporated by reference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0" w:right="419" w:firstLine="648"/>
        <w:spacing w:after="0" w:line="224" w:lineRule="exact"/>
        <w:rPr>
          <w:sz w:val="20"/>
          <w:szCs w:val="20"/>
          <w:color w:val="auto"/>
        </w:rPr>
      </w:pPr>
      <w:r>
        <w:rPr>
          <w:rFonts w:ascii="Arial" w:cs="Arial" w:eastAsia="Arial" w:hAnsi="Arial"/>
          <w:sz w:val="16"/>
          <w:szCs w:val="16"/>
          <w:color w:val="auto"/>
        </w:rPr>
        <w:t>The information required by this item will be included under the heading “Principal Accountant Fees and Services” in our 2020 Proxy Statement and is hereby incorporated by reference into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5" w:lineRule="exact"/>
        <w:rPr>
          <w:sz w:val="20"/>
          <w:szCs w:val="20"/>
          <w:color w:val="auto"/>
        </w:rPr>
      </w:pPr>
    </w:p>
    <w:p>
      <w:pPr>
        <w:ind w:left="700" w:hanging="656"/>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 List of Financial Statements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financial statements are included in Item 8 “Financial Statements and Supplementary Data” herein.</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20" w:type="dxa"/>
            <w:vAlign w:val="bottom"/>
            <w:gridSpan w:val="5"/>
            <w:vMerge w:val="restart"/>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Report of Independent Registered Public Accounting Firm</w:t>
              </w:r>
            </w:hyperlink>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0000EE"/>
            </w:tcBorders>
            <w:gridSpan w:val="5"/>
            <w:vMerge w:val="continue"/>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6"/>
                <w:szCs w:val="16"/>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38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100" w:type="dxa"/>
            <w:vAlign w:val="bottom"/>
            <w:tcBorders>
              <w:bottom w:val="single" w:sz="8" w:color="0000EE"/>
            </w:tcBorders>
          </w:tcPr>
          <w:p>
            <w:pPr>
              <w:spacing w:after="0" w:line="170"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Balance Sheets</w:t>
              </w:r>
            </w:hyperlink>
          </w:p>
        </w:tc>
        <w:tc>
          <w:tcPr>
            <w:tcW w:w="6100" w:type="dxa"/>
            <w:vAlign w:val="bottom"/>
            <w:gridSpan w:val="6"/>
          </w:tcPr>
          <w:p>
            <w:pPr>
              <w:spacing w:after="0"/>
              <w:rPr>
                <w:sz w:val="16"/>
                <w:szCs w:val="16"/>
                <w:color w:val="auto"/>
              </w:rPr>
            </w:pPr>
          </w:p>
        </w:tc>
        <w:tc>
          <w:tcPr>
            <w:tcW w:w="560" w:type="dxa"/>
            <w:vAlign w:val="bottom"/>
            <w:gridSpan w:val="2"/>
          </w:tcPr>
          <w:p>
            <w:pPr>
              <w:jc w:val="right"/>
              <w:ind w:right="20"/>
              <w:spacing w:after="0" w:line="17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400" w:type="dxa"/>
            <w:vAlign w:val="bottom"/>
            <w:tcBorders>
              <w:bottom w:val="single" w:sz="8" w:color="0000EE"/>
            </w:tcBorders>
            <w:gridSpan w:val="5"/>
          </w:tcPr>
          <w:p>
            <w:pPr>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Operations and Comprehensive Income (Loss)</w:t>
              </w:r>
            </w:hyperlink>
          </w:p>
        </w:tc>
        <w:tc>
          <w:tcPr>
            <w:tcW w:w="2800" w:type="dxa"/>
            <w:vAlign w:val="bottom"/>
            <w:gridSpan w:val="2"/>
          </w:tcPr>
          <w:p>
            <w:pPr>
              <w:spacing w:after="0"/>
              <w:rPr>
                <w:sz w:val="17"/>
                <w:szCs w:val="17"/>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00" w:type="dxa"/>
            <w:vAlign w:val="bottom"/>
            <w:tcBorders>
              <w:bottom w:val="single" w:sz="8" w:color="0000EE"/>
            </w:tcBorders>
            <w:gridSpan w:val="6"/>
          </w:tcPr>
          <w:p>
            <w:pPr>
              <w:spacing w:after="0" w:line="182"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Consolidated Statements of Changes in Convertible Preferred Stock and Stockholders’ Deficit</w:t>
              </w:r>
            </w:hyperlink>
          </w:p>
        </w:tc>
        <w:tc>
          <w:tcPr>
            <w:tcW w:w="1400" w:type="dxa"/>
            <w:vAlign w:val="bottom"/>
          </w:tcPr>
          <w:p>
            <w:pPr>
              <w:spacing w:after="0"/>
              <w:rPr>
                <w:sz w:val="17"/>
                <w:szCs w:val="17"/>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Cash Flows</w:t>
              </w:r>
            </w:hyperlink>
          </w:p>
        </w:tc>
        <w:tc>
          <w:tcPr>
            <w:tcW w:w="5320" w:type="dxa"/>
            <w:vAlign w:val="bottom"/>
            <w:gridSpan w:val="5"/>
          </w:tcPr>
          <w:p>
            <w:pPr>
              <w:spacing w:after="0"/>
              <w:rPr>
                <w:sz w:val="17"/>
                <w:szCs w:val="17"/>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8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5040" w:type="dxa"/>
            <w:vAlign w:val="bottom"/>
            <w:gridSpan w:val="4"/>
          </w:tcPr>
          <w:p>
            <w:pPr>
              <w:spacing w:after="0"/>
              <w:rPr>
                <w:sz w:val="17"/>
                <w:szCs w:val="17"/>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 List of Financial Statement Schedules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List of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to this report are listed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1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56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15"/>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6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Amended and Restated</w:t>
              </w:r>
            </w:hyperlink>
          </w:p>
        </w:tc>
        <w:tc>
          <w:tcPr>
            <w:tcW w:w="540" w:type="dxa"/>
            <w:vAlign w:val="bottom"/>
            <w:tcBorders>
              <w:top w:val="single" w:sz="8" w:color="auto"/>
            </w:tcBorders>
            <w:gridSpan w:val="11"/>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8-K</w:t>
            </w: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w w:val="92"/>
              </w:rPr>
              <w:t>001-39100</w:t>
            </w:r>
          </w:p>
        </w:tc>
        <w:tc>
          <w:tcPr>
            <w:tcW w:w="56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380" w:type="dxa"/>
            <w:vAlign w:val="bottom"/>
          </w:tcPr>
          <w:p>
            <w:pPr>
              <w:spacing w:after="0"/>
              <w:rPr>
                <w:sz w:val="14"/>
                <w:szCs w:val="14"/>
                <w:color w:val="auto"/>
              </w:rPr>
            </w:pPr>
          </w:p>
        </w:tc>
        <w:tc>
          <w:tcPr>
            <w:tcW w:w="10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10/31/2019</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Certificate of Incorporation of</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Progyny, Inc.</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Amended and Restated By-</w:t>
              </w:r>
            </w:hyperlink>
          </w:p>
        </w:tc>
        <w:tc>
          <w:tcPr>
            <w:tcW w:w="220" w:type="dxa"/>
            <w:vAlign w:val="bottom"/>
            <w:gridSpan w:val="7"/>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9/27/2019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laws of Progyny, Inc</w:t>
              </w:r>
              <w:r>
                <w:rPr>
                  <w:rFonts w:ascii="Arial" w:cs="Arial" w:eastAsia="Arial" w:hAnsi="Arial"/>
                  <w:sz w:val="18"/>
                  <w:szCs w:val="18"/>
                  <w:color w:val="000000"/>
                </w:rPr>
                <w: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Form of common stock</w:t>
              </w:r>
            </w:hyperlink>
          </w:p>
        </w:tc>
        <w:tc>
          <w:tcPr>
            <w:tcW w:w="520" w:type="dxa"/>
            <w:vAlign w:val="bottom"/>
            <w:gridSpan w:val="10"/>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10/15/2019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certificate</w:t>
              </w:r>
              <w:r>
                <w:rPr>
                  <w:rFonts w:ascii="Arial" w:cs="Arial" w:eastAsia="Arial" w:hAnsi="Arial"/>
                  <w:sz w:val="18"/>
                  <w:szCs w:val="18"/>
                  <w:color w:val="000000"/>
                </w:rPr>
                <w: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Form of 2013 Preferred Stock</w:t>
              </w:r>
            </w:hyperlink>
          </w:p>
        </w:tc>
        <w:tc>
          <w:tcPr>
            <w:tcW w:w="40" w:type="dxa"/>
            <w:vAlign w:val="bottom"/>
            <w:gridSpan w:val="2"/>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4.2</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10/15/2019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Warrant.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Form of 2014 Preferred Stock</w:t>
              </w:r>
            </w:hyperlink>
          </w:p>
        </w:tc>
        <w:tc>
          <w:tcPr>
            <w:tcW w:w="40" w:type="dxa"/>
            <w:vAlign w:val="bottom"/>
            <w:gridSpan w:val="2"/>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4.3</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10/15/2019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Warrant.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Form of 2015 Preferred Stock</w:t>
              </w:r>
            </w:hyperlink>
          </w:p>
        </w:tc>
        <w:tc>
          <w:tcPr>
            <w:tcW w:w="40" w:type="dxa"/>
            <w:vAlign w:val="bottom"/>
            <w:gridSpan w:val="2"/>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4.4</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10/15/2019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Warrant.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Warrant to Purchase Stock</w:t>
              </w:r>
            </w:hyperlink>
          </w:p>
        </w:tc>
        <w:tc>
          <w:tcPr>
            <w:tcW w:w="300" w:type="dxa"/>
            <w:vAlign w:val="bottom"/>
            <w:gridSpan w:val="8"/>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4.5</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10/15/2019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issued to Silicon Valley Bank</w:t>
              </w:r>
            </w:hyperlink>
          </w:p>
        </w:tc>
        <w:tc>
          <w:tcPr>
            <w:tcW w:w="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dated October 9, 2013.</w:t>
              </w:r>
            </w:hyperlink>
          </w:p>
        </w:tc>
        <w:tc>
          <w:tcPr>
            <w:tcW w:w="56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w w:val="97"/>
              </w:rPr>
            </w:pPr>
            <w:hyperlink w:anchor="page112">
              <w:r>
                <w:rPr>
                  <w:rFonts w:ascii="Arial" w:cs="Arial" w:eastAsia="Arial" w:hAnsi="Arial"/>
                  <w:sz w:val="18"/>
                  <w:szCs w:val="18"/>
                  <w:color w:val="0000EE"/>
                  <w:w w:val="97"/>
                </w:rPr>
                <w:t>Description of Capital Stock.</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127">
              <w:r>
                <w:rPr>
                  <w:rFonts w:ascii="Arial" w:cs="Arial" w:eastAsia="Arial" w:hAnsi="Arial"/>
                  <w:sz w:val="18"/>
                  <w:szCs w:val="18"/>
                  <w:color w:val="0000EE"/>
                  <w:w w:val="87"/>
                </w:rPr>
                <w:t>Amended and Restated</w:t>
              </w:r>
            </w:hyperlink>
          </w:p>
        </w:tc>
        <w:tc>
          <w:tcPr>
            <w:tcW w:w="420" w:type="dxa"/>
            <w:vAlign w:val="bottom"/>
            <w:tcBorders>
              <w:top w:val="single" w:sz="8" w:color="0000EE"/>
            </w:tcBorders>
            <w:gridSpan w:val="5"/>
          </w:tcPr>
          <w:p>
            <w:pPr>
              <w:spacing w:after="0"/>
              <w:rPr>
                <w:sz w:val="17"/>
                <w:szCs w:val="17"/>
                <w:color w:val="auto"/>
              </w:rPr>
            </w:pPr>
          </w:p>
        </w:tc>
        <w:tc>
          <w:tcPr>
            <w:tcW w:w="120" w:type="dxa"/>
            <w:vAlign w:val="bottom"/>
            <w:gridSpan w:val="6"/>
          </w:tcPr>
          <w:p>
            <w:pPr>
              <w:spacing w:after="0"/>
              <w:rPr>
                <w:sz w:val="17"/>
                <w:szCs w:val="17"/>
                <w:color w:val="auto"/>
              </w:rPr>
            </w:pPr>
          </w:p>
        </w:tc>
        <w:tc>
          <w:tcPr>
            <w:tcW w:w="7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w:t>
            </w: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333-</w:t>
            </w:r>
          </w:p>
        </w:tc>
        <w:tc>
          <w:tcPr>
            <w:tcW w:w="13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10.1</w:t>
            </w:r>
          </w:p>
        </w:tc>
        <w:tc>
          <w:tcPr>
            <w:tcW w:w="380" w:type="dxa"/>
            <w:vAlign w:val="bottom"/>
          </w:tcPr>
          <w:p>
            <w:pPr>
              <w:spacing w:after="0"/>
              <w:rPr>
                <w:sz w:val="17"/>
                <w:szCs w:val="17"/>
                <w:color w:val="auto"/>
              </w:rPr>
            </w:pPr>
          </w:p>
        </w:tc>
        <w:tc>
          <w:tcPr>
            <w:tcW w:w="1080" w:type="dxa"/>
            <w:vAlign w:val="bottom"/>
          </w:tcPr>
          <w:p>
            <w:pPr>
              <w:spacing w:after="0" w:line="196" w:lineRule="exact"/>
              <w:rPr>
                <w:sz w:val="20"/>
                <w:szCs w:val="20"/>
                <w:color w:val="auto"/>
              </w:rPr>
            </w:pPr>
            <w:r>
              <w:rPr>
                <w:rFonts w:ascii="Arial" w:cs="Arial" w:eastAsia="Arial" w:hAnsi="Arial"/>
                <w:sz w:val="18"/>
                <w:szCs w:val="18"/>
                <w:color w:val="auto"/>
              </w:rPr>
              <w:t>9/27/2019</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Investor Rights Agreement,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233965</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9"/>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dated as of March 4, 2015, by</w:t>
              </w:r>
            </w:hyperlink>
          </w:p>
        </w:tc>
        <w:tc>
          <w:tcPr>
            <w:tcW w:w="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and among Progyny, Inc. and</w:t>
              </w:r>
            </w:hyperlink>
          </w:p>
        </w:tc>
        <w:tc>
          <w:tcPr>
            <w:tcW w:w="1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certain of its stockholders</w:t>
              </w:r>
              <w:r>
                <w:rPr>
                  <w:rFonts w:ascii="Arial" w:cs="Arial" w:eastAsia="Arial" w:hAnsi="Arial"/>
                  <w:sz w:val="18"/>
                  <w:szCs w:val="18"/>
                  <w:color w:val="000000"/>
                </w:rPr>
                <w:t>.</w:t>
              </w:r>
            </w:hyperlink>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2"/>
          </w:tcPr>
          <w:p>
            <w:pPr>
              <w:jc w:val="right"/>
              <w:ind w:right="182"/>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06" w:name="page107"/>
    <w:bookmarkEnd w:id="10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gridSpan w:val="3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736"/>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2440" w:type="dxa"/>
            <w:vAlign w:val="bottom"/>
            <w:tcBorders>
              <w:bottom w:val="single" w:sz="8" w:color="0000EE"/>
            </w:tcBorders>
            <w:gridSpan w:val="31"/>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Progyny, Inc. 2008 Stock Plan, as</w:t>
              </w:r>
            </w:hyperlink>
          </w:p>
        </w:tc>
        <w:tc>
          <w:tcPr>
            <w:tcW w:w="780" w:type="dxa"/>
            <w:vAlign w:val="bottom"/>
          </w:tcPr>
          <w:p>
            <w:pPr>
              <w:ind w:left="220"/>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rPr>
                <w:sz w:val="20"/>
                <w:szCs w:val="20"/>
                <w:color w:val="auto"/>
              </w:rPr>
            </w:pPr>
            <w:r>
              <w:rPr>
                <w:rFonts w:ascii="Arial" w:cs="Arial" w:eastAsia="Arial" w:hAnsi="Arial"/>
                <w:sz w:val="18"/>
                <w:szCs w:val="18"/>
                <w:color w:val="auto"/>
              </w:rPr>
              <w:t>10.2</w:t>
            </w:r>
          </w:p>
        </w:tc>
        <w:tc>
          <w:tcPr>
            <w:tcW w:w="2660" w:type="dxa"/>
            <w:vAlign w:val="bottom"/>
          </w:tcPr>
          <w:p>
            <w:pPr>
              <w:ind w:left="320"/>
              <w:spacing w:after="0"/>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amended, and forms of</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agreements thereunder</w:t>
              </w:r>
              <w:r>
                <w:rPr>
                  <w:rFonts w:ascii="Arial" w:cs="Arial" w:eastAsia="Arial" w:hAnsi="Arial"/>
                  <w:sz w:val="18"/>
                  <w:szCs w:val="18"/>
                  <w:color w:val="000000"/>
                </w:rPr>
                <w:t>.</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Progyny, Inc. 2017 Equity</w:t>
              </w:r>
            </w:hyperlink>
          </w:p>
        </w:tc>
        <w:tc>
          <w:tcPr>
            <w:tcW w:w="540" w:type="dxa"/>
            <w:vAlign w:val="bottom"/>
            <w:gridSpan w:val="15"/>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S-8</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99.2</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10/25/2019</w:t>
            </w:r>
          </w:p>
        </w:tc>
      </w:tr>
      <w:tr>
        <w:trPr>
          <w:trHeight w:val="196"/>
        </w:trPr>
        <w:tc>
          <w:tcPr>
            <w:tcW w:w="960" w:type="dxa"/>
            <w:vAlign w:val="bottom"/>
          </w:tcPr>
          <w:p>
            <w:pPr>
              <w:spacing w:after="0"/>
              <w:rPr>
                <w:sz w:val="17"/>
                <w:szCs w:val="17"/>
                <w:color w:val="auto"/>
              </w:rPr>
            </w:pPr>
          </w:p>
        </w:tc>
        <w:tc>
          <w:tcPr>
            <w:tcW w:w="23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Incentive Plan, as amended, and</w:t>
              </w:r>
            </w:hyperlink>
          </w:p>
        </w:tc>
        <w:tc>
          <w:tcPr>
            <w:tcW w:w="10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forms of agreements thereunder</w:t>
              </w:r>
              <w:r>
                <w:rPr>
                  <w:rFonts w:ascii="Arial" w:cs="Arial" w:eastAsia="Arial" w:hAnsi="Arial"/>
                  <w:sz w:val="18"/>
                  <w:szCs w:val="18"/>
                  <w:color w:val="000000"/>
                  <w:w w:val="92"/>
                </w:rPr>
                <w:t>.</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9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Progyny, Inc. 2019 Equity</w:t>
              </w:r>
            </w:hyperlink>
          </w:p>
        </w:tc>
        <w:tc>
          <w:tcPr>
            <w:tcW w:w="420" w:type="dxa"/>
            <w:vAlign w:val="bottom"/>
            <w:tcBorders>
              <w:top w:val="single" w:sz="8" w:color="0000EE"/>
            </w:tcBorders>
            <w:gridSpan w:val="10"/>
          </w:tcPr>
          <w:p>
            <w:pPr>
              <w:spacing w:after="0"/>
              <w:rPr>
                <w:sz w:val="17"/>
                <w:szCs w:val="17"/>
                <w:color w:val="auto"/>
              </w:rPr>
            </w:pPr>
          </w:p>
        </w:tc>
        <w:tc>
          <w:tcPr>
            <w:tcW w:w="120" w:type="dxa"/>
            <w:vAlign w:val="bottom"/>
            <w:gridSpan w:val="5"/>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S-1/A</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10.4</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10/15/2019</w:t>
            </w: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Incentive Plan and forms of</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agreements thereunder.</w:t>
              </w:r>
            </w:hyperlink>
          </w:p>
        </w:tc>
        <w:tc>
          <w:tcPr>
            <w:tcW w:w="32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44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Progyny, Inc. 2019 Employee</w:t>
              </w:r>
            </w:hyperlink>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S-1/A</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10.5</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10/15/2019</w:t>
            </w:r>
          </w:p>
        </w:tc>
      </w:tr>
      <w:tr>
        <w:trPr>
          <w:trHeight w:val="196"/>
        </w:trPr>
        <w:tc>
          <w:tcPr>
            <w:tcW w:w="960" w:type="dxa"/>
            <w:vAlign w:val="bottom"/>
          </w:tcPr>
          <w:p>
            <w:pPr>
              <w:spacing w:after="0"/>
              <w:rPr>
                <w:sz w:val="17"/>
                <w:szCs w:val="17"/>
                <w:color w:val="auto"/>
              </w:rPr>
            </w:pPr>
          </w:p>
        </w:tc>
        <w:tc>
          <w:tcPr>
            <w:tcW w:w="2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Stock Purchase Plan.</w:t>
              </w:r>
            </w:hyperlink>
          </w:p>
        </w:tc>
        <w:tc>
          <w:tcPr>
            <w:tcW w:w="3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8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Form of Indemnification</w:t>
              </w:r>
            </w:hyperlink>
          </w:p>
        </w:tc>
        <w:tc>
          <w:tcPr>
            <w:tcW w:w="640" w:type="dxa"/>
            <w:vAlign w:val="bottom"/>
            <w:gridSpan w:val="16"/>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10.6</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Agreement.</w:t>
              </w:r>
            </w:hyperlink>
          </w:p>
        </w:tc>
        <w:tc>
          <w:tcPr>
            <w:tcW w:w="1580" w:type="dxa"/>
            <w:vAlign w:val="bottom"/>
            <w:gridSpan w:val="26"/>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Amended and Restated</w:t>
              </w:r>
            </w:hyperlink>
          </w:p>
        </w:tc>
        <w:tc>
          <w:tcPr>
            <w:tcW w:w="760" w:type="dxa"/>
            <w:vAlign w:val="bottom"/>
            <w:gridSpan w:val="20"/>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10.7</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Employment Agreement between</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Progyny, Inc. and David</w:t>
              </w:r>
            </w:hyperlink>
          </w:p>
        </w:tc>
        <w:tc>
          <w:tcPr>
            <w:tcW w:w="64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Schlanger, dated September 23,</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2019.</w:t>
              </w:r>
            </w:hyperlink>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134">
              <w:r>
                <w:rPr>
                  <w:rFonts w:ascii="Arial" w:cs="Arial" w:eastAsia="Arial" w:hAnsi="Arial"/>
                  <w:sz w:val="18"/>
                  <w:szCs w:val="18"/>
                  <w:color w:val="0000EE"/>
                  <w:w w:val="87"/>
                </w:rPr>
                <w:t>Amended and Restated</w:t>
              </w:r>
            </w:hyperlink>
          </w:p>
        </w:tc>
        <w:tc>
          <w:tcPr>
            <w:tcW w:w="760" w:type="dxa"/>
            <w:vAlign w:val="bottom"/>
            <w:gridSpan w:val="20"/>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10.8</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Employment Agreement between</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Progyny, Inc. and Peter Anevski,</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r:id="rId134">
              <w:r>
                <w:rPr>
                  <w:rFonts w:ascii="Arial" w:cs="Arial" w:eastAsia="Arial" w:hAnsi="Arial"/>
                  <w:sz w:val="18"/>
                  <w:szCs w:val="18"/>
                  <w:color w:val="0000EE"/>
                  <w:w w:val="87"/>
                </w:rPr>
                <w:t>dated September 25, 2019.</w:t>
              </w:r>
            </w:hyperlink>
          </w:p>
        </w:tc>
        <w:tc>
          <w:tcPr>
            <w:tcW w:w="50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44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Letter Agreement between</w:t>
              </w:r>
            </w:hyperlink>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10.9</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Progyny, Inc. and Karin Ajmani</w:t>
              </w:r>
            </w:hyperlink>
            <w:r>
              <w:rPr>
                <w:rFonts w:ascii="Arial" w:cs="Arial" w:eastAsia="Arial" w:hAnsi="Arial"/>
                <w:sz w:val="18"/>
                <w:szCs w:val="18"/>
                <w:color w:val="000000"/>
                <w:w w:val="95"/>
              </w:rPr>
              <w:t>.</w:t>
            </w: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440" w:type="dxa"/>
            <w:vAlign w:val="bottom"/>
            <w:gridSpan w:val="31"/>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Sublease Agreement, dated as of</w:t>
              </w:r>
            </w:hyperlink>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10.11</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July 29, 2019 by and between</w:t>
              </w:r>
            </w:hyperlink>
          </w:p>
        </w:tc>
        <w:tc>
          <w:tcPr>
            <w:tcW w:w="200" w:type="dxa"/>
            <w:vAlign w:val="bottom"/>
            <w:tcBorders>
              <w:top w:val="single" w:sz="8" w:color="0000EE"/>
            </w:tcBorders>
            <w:gridSpan w:val="5"/>
          </w:tcPr>
          <w:p>
            <w:pPr>
              <w:spacing w:after="0"/>
              <w:rPr>
                <w:sz w:val="17"/>
                <w:szCs w:val="17"/>
                <w:color w:val="auto"/>
              </w:rPr>
            </w:pPr>
          </w:p>
        </w:tc>
        <w:tc>
          <w:tcPr>
            <w:tcW w:w="8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IPREO Holdings, LLC and</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Progyny, Inc.</w:t>
              </w:r>
            </w:hyperlink>
          </w:p>
        </w:tc>
        <w:tc>
          <w:tcPr>
            <w:tcW w:w="980" w:type="dxa"/>
            <w:vAlign w:val="bottom"/>
            <w:tcBorders>
              <w:top w:val="single" w:sz="8" w:color="0000EE"/>
            </w:tcBorders>
            <w:gridSpan w:val="13"/>
          </w:tcPr>
          <w:p>
            <w:pPr>
              <w:spacing w:after="0"/>
              <w:rPr>
                <w:sz w:val="17"/>
                <w:szCs w:val="17"/>
                <w:color w:val="auto"/>
              </w:rPr>
            </w:pPr>
          </w:p>
        </w:tc>
        <w:tc>
          <w:tcPr>
            <w:tcW w:w="48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Loan and Security Agreement,</w:t>
              </w:r>
            </w:hyperlink>
          </w:p>
        </w:tc>
        <w:tc>
          <w:tcPr>
            <w:tcW w:w="220" w:type="dxa"/>
            <w:vAlign w:val="bottom"/>
            <w:gridSpan w:val="7"/>
          </w:tcPr>
          <w:p>
            <w:pPr>
              <w:spacing w:after="0"/>
              <w:rPr>
                <w:sz w:val="17"/>
                <w:szCs w:val="17"/>
                <w:color w:val="auto"/>
              </w:rPr>
            </w:pPr>
          </w:p>
        </w:tc>
        <w:tc>
          <w:tcPr>
            <w:tcW w:w="780" w:type="dxa"/>
            <w:vAlign w:val="bottom"/>
          </w:tcPr>
          <w:p>
            <w:pPr>
              <w:ind w:left="22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333-233965</w:t>
            </w:r>
          </w:p>
        </w:tc>
        <w:tc>
          <w:tcPr>
            <w:tcW w:w="820" w:type="dxa"/>
            <w:vAlign w:val="bottom"/>
          </w:tcPr>
          <w:p>
            <w:pPr>
              <w:ind w:left="100"/>
              <w:spacing w:after="0" w:line="196" w:lineRule="exact"/>
              <w:rPr>
                <w:sz w:val="20"/>
                <w:szCs w:val="20"/>
                <w:color w:val="auto"/>
              </w:rPr>
            </w:pPr>
            <w:r>
              <w:rPr>
                <w:rFonts w:ascii="Arial" w:cs="Arial" w:eastAsia="Arial" w:hAnsi="Arial"/>
                <w:sz w:val="18"/>
                <w:szCs w:val="18"/>
                <w:color w:val="auto"/>
              </w:rPr>
              <w:t>10.10</w:t>
            </w:r>
          </w:p>
        </w:tc>
        <w:tc>
          <w:tcPr>
            <w:tcW w:w="266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44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r:id="rId137">
              <w:r>
                <w:rPr>
                  <w:rFonts w:ascii="Arial" w:cs="Arial" w:eastAsia="Arial" w:hAnsi="Arial"/>
                  <w:sz w:val="18"/>
                  <w:szCs w:val="18"/>
                  <w:color w:val="0000EE"/>
                  <w:w w:val="87"/>
                </w:rPr>
                <w:t>dated as of June 8, 2018, between</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Silicon Valley Bank and</w:t>
              </w:r>
            </w:hyperlink>
          </w:p>
        </w:tc>
        <w:tc>
          <w:tcPr>
            <w:tcW w:w="68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Registrant.</w:t>
              </w:r>
            </w:hyperlink>
          </w:p>
        </w:tc>
        <w:tc>
          <w:tcPr>
            <w:tcW w:w="1640" w:type="dxa"/>
            <w:vAlign w:val="bottom"/>
            <w:gridSpan w:val="27"/>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44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Consent of Independent</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jc w:val="center"/>
              <w:ind w:left="1490"/>
              <w:spacing w:after="0" w:line="196" w:lineRule="exact"/>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Registered Public Accounting</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Firm</w:t>
              </w:r>
              <w:r>
                <w:rPr>
                  <w:rFonts w:ascii="Arial" w:cs="Arial" w:eastAsia="Arial" w:hAnsi="Arial"/>
                  <w:sz w:val="18"/>
                  <w:szCs w:val="18"/>
                  <w:color w:val="000000"/>
                </w:rPr>
                <w:t>.</w:t>
              </w:r>
            </w:hyperlink>
          </w:p>
        </w:tc>
        <w:tc>
          <w:tcPr>
            <w:tcW w:w="2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24.1</w:t>
            </w:r>
          </w:p>
        </w:tc>
        <w:tc>
          <w:tcPr>
            <w:tcW w:w="2440" w:type="dxa"/>
            <w:vAlign w:val="bottom"/>
            <w:gridSpan w:val="31"/>
          </w:tcPr>
          <w:p>
            <w:pPr>
              <w:spacing w:after="0"/>
              <w:rPr>
                <w:sz w:val="20"/>
                <w:szCs w:val="20"/>
                <w:color w:val="auto"/>
              </w:rPr>
            </w:pPr>
            <w:r>
              <w:rPr>
                <w:rFonts w:ascii="Arial" w:cs="Arial" w:eastAsia="Arial" w:hAnsi="Arial"/>
                <w:sz w:val="18"/>
                <w:szCs w:val="18"/>
                <w:color w:val="auto"/>
                <w:w w:val="95"/>
              </w:rPr>
              <w:t>Power of Attorney (incorporated</w:t>
            </w: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60" w:type="dxa"/>
            <w:vAlign w:val="bottom"/>
          </w:tcPr>
          <w:p>
            <w:pPr>
              <w:jc w:val="center"/>
              <w:ind w:left="149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440" w:type="dxa"/>
            <w:vAlign w:val="bottom"/>
            <w:gridSpan w:val="31"/>
          </w:tcPr>
          <w:p>
            <w:pPr>
              <w:spacing w:after="0"/>
              <w:rPr>
                <w:sz w:val="20"/>
                <w:szCs w:val="20"/>
                <w:color w:val="auto"/>
              </w:rPr>
            </w:pPr>
            <w:r>
              <w:rPr>
                <w:rFonts w:ascii="Arial" w:cs="Arial" w:eastAsia="Arial" w:hAnsi="Arial"/>
                <w:sz w:val="18"/>
                <w:szCs w:val="18"/>
                <w:color w:val="auto"/>
              </w:rPr>
              <w:t>by reference to the signature</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440" w:type="dxa"/>
            <w:vAlign w:val="bottom"/>
            <w:gridSpan w:val="31"/>
          </w:tcPr>
          <w:p>
            <w:pPr>
              <w:spacing w:after="0"/>
              <w:rPr>
                <w:sz w:val="20"/>
                <w:szCs w:val="20"/>
                <w:color w:val="auto"/>
              </w:rPr>
            </w:pPr>
            <w:r>
              <w:rPr>
                <w:rFonts w:ascii="Arial" w:cs="Arial" w:eastAsia="Arial" w:hAnsi="Arial"/>
                <w:sz w:val="18"/>
                <w:szCs w:val="18"/>
                <w:color w:val="auto"/>
                <w:w w:val="97"/>
              </w:rPr>
              <w:t>pages of this Annual Report on</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440" w:type="dxa"/>
            <w:vAlign w:val="bottom"/>
            <w:gridSpan w:val="31"/>
          </w:tcPr>
          <w:p>
            <w:pPr>
              <w:spacing w:after="0"/>
              <w:rPr>
                <w:sz w:val="20"/>
                <w:szCs w:val="20"/>
                <w:color w:val="auto"/>
              </w:rPr>
            </w:pPr>
            <w:r>
              <w:rPr>
                <w:rFonts w:ascii="Arial" w:cs="Arial" w:eastAsia="Arial" w:hAnsi="Arial"/>
                <w:sz w:val="18"/>
                <w:szCs w:val="18"/>
                <w:color w:val="auto"/>
              </w:rPr>
              <w:t>Form 10-K).</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2440" w:type="dxa"/>
            <w:vAlign w:val="bottom"/>
            <w:gridSpan w:val="31"/>
          </w:tcPr>
          <w:p>
            <w:pPr>
              <w:spacing w:after="0" w:line="190" w:lineRule="exact"/>
              <w:rPr>
                <w:rFonts w:ascii="Arial" w:cs="Arial" w:eastAsia="Arial" w:hAnsi="Arial"/>
                <w:sz w:val="18"/>
                <w:szCs w:val="18"/>
                <w:color w:val="0000EE"/>
                <w:w w:val="98"/>
              </w:rPr>
            </w:pPr>
            <w:hyperlink w:anchor="page116">
              <w:r>
                <w:rPr>
                  <w:rFonts w:ascii="Arial" w:cs="Arial" w:eastAsia="Arial" w:hAnsi="Arial"/>
                  <w:sz w:val="18"/>
                  <w:szCs w:val="18"/>
                  <w:color w:val="0000EE"/>
                  <w:w w:val="98"/>
                </w:rPr>
                <w:t>Certification of Chief Executive</w:t>
              </w:r>
            </w:hyperlink>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60" w:type="dxa"/>
            <w:vAlign w:val="bottom"/>
          </w:tcPr>
          <w:p>
            <w:pPr>
              <w:jc w:val="center"/>
              <w:ind w:left="1490"/>
              <w:spacing w:after="0" w:line="190" w:lineRule="exact"/>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Officer pursuant to Exchange Act</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Rule 13a-14(a).</w:t>
              </w:r>
            </w:hyperlink>
          </w:p>
        </w:tc>
        <w:tc>
          <w:tcPr>
            <w:tcW w:w="130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32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Certification of Chief Financial</w:t>
              </w:r>
            </w:hyperlink>
          </w:p>
        </w:tc>
        <w:tc>
          <w:tcPr>
            <w:tcW w:w="1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jc w:val="center"/>
              <w:ind w:left="149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4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Officer pursuant to Exchange Act</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Rule 13a-14(a).</w:t>
              </w:r>
            </w:hyperlink>
          </w:p>
        </w:tc>
        <w:tc>
          <w:tcPr>
            <w:tcW w:w="1300" w:type="dxa"/>
            <w:vAlign w:val="bottom"/>
            <w:gridSpan w:val="23"/>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440" w:type="dxa"/>
            <w:vAlign w:val="bottom"/>
            <w:gridSpan w:val="3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Certification of Principal</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jc w:val="center"/>
              <w:ind w:left="1470"/>
              <w:spacing w:after="0" w:line="196" w:lineRule="exact"/>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w w:val="94"/>
              </w:rPr>
            </w:pPr>
            <w:hyperlink w:anchor="page118">
              <w:r>
                <w:rPr>
                  <w:rFonts w:ascii="Arial" w:cs="Arial" w:eastAsia="Arial" w:hAnsi="Arial"/>
                  <w:sz w:val="18"/>
                  <w:szCs w:val="18"/>
                  <w:color w:val="0000EE"/>
                  <w:w w:val="94"/>
                </w:rPr>
                <w:t>Executive Officer pursuant to 18</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U.S.C. Section 1350.</w:t>
              </w:r>
            </w:hyperlink>
          </w:p>
        </w:tc>
        <w:tc>
          <w:tcPr>
            <w:tcW w:w="8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8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Certification of Chief Financial</w:t>
              </w:r>
            </w:hyperlink>
          </w:p>
        </w:tc>
        <w:tc>
          <w:tcPr>
            <w:tcW w:w="16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jc w:val="center"/>
              <w:ind w:left="147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440" w:type="dxa"/>
            <w:vAlign w:val="bottom"/>
            <w:gridSpan w:val="3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Officer pursuant to 18 U.S.C.</w:t>
              </w:r>
            </w:hyperlink>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Section 1350.</w:t>
              </w:r>
            </w:hyperlink>
          </w:p>
        </w:tc>
        <w:tc>
          <w:tcPr>
            <w:tcW w:w="1120" w:type="dxa"/>
            <w:vAlign w:val="bottom"/>
            <w:tcBorders>
              <w:top w:val="single" w:sz="8" w:color="0000EE"/>
            </w:tcBorders>
            <w:gridSpan w:val="14"/>
          </w:tcPr>
          <w:p>
            <w:pPr>
              <w:spacing w:after="0"/>
              <w:rPr>
                <w:sz w:val="17"/>
                <w:szCs w:val="17"/>
                <w:color w:val="auto"/>
              </w:rPr>
            </w:pPr>
          </w:p>
        </w:tc>
        <w:tc>
          <w:tcPr>
            <w:tcW w:w="32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3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244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60" w:type="dxa"/>
            <w:vAlign w:val="bottom"/>
          </w:tcPr>
          <w:p>
            <w:pPr>
              <w:jc w:val="center"/>
              <w:ind w:left="1490"/>
              <w:spacing w:after="0"/>
              <w:rPr>
                <w:sz w:val="20"/>
                <w:szCs w:val="20"/>
                <w:color w:val="auto"/>
              </w:rPr>
            </w:pPr>
            <w:r>
              <w:rPr>
                <w:rFonts w:ascii="Arial" w:cs="Arial" w:eastAsia="Arial" w:hAnsi="Arial"/>
                <w:sz w:val="18"/>
                <w:szCs w:val="18"/>
                <w:color w:val="auto"/>
              </w:rPr>
              <w:t>*</w:t>
            </w:r>
          </w:p>
        </w:tc>
      </w:tr>
      <w:tr>
        <w:trPr>
          <w:trHeight w:val="648"/>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ind w:right="750"/>
              <w:spacing w:after="0"/>
              <w:rPr>
                <w:sz w:val="20"/>
                <w:szCs w:val="20"/>
                <w:color w:val="auto"/>
              </w:rPr>
            </w:pPr>
            <w:r>
              <w:rPr>
                <w:rFonts w:ascii="Arial" w:cs="Arial" w:eastAsia="Arial" w:hAnsi="Arial"/>
                <w:sz w:val="18"/>
                <w:szCs w:val="18"/>
                <w:color w:val="auto"/>
              </w:rPr>
              <w:t>107</w:t>
            </w:r>
          </w:p>
        </w:tc>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560"/>
        </w:trPr>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07" w:name="page108"/>
    <w:bookmarkEnd w:id="10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4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580" w:type="dxa"/>
            <w:vAlign w:val="bottom"/>
          </w:tcPr>
          <w:p>
            <w:pPr>
              <w:spacing w:after="0"/>
              <w:rPr>
                <w:sz w:val="17"/>
                <w:szCs w:val="17"/>
                <w:color w:val="auto"/>
              </w:rPr>
            </w:pPr>
          </w:p>
        </w:tc>
      </w:tr>
      <w:tr>
        <w:trPr>
          <w:trHeight w:val="20"/>
        </w:trPr>
        <w:tc>
          <w:tcPr>
            <w:tcW w:w="8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76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Schema Document</w:t>
            </w:r>
          </w:p>
        </w:tc>
        <w:tc>
          <w:tcPr>
            <w:tcW w:w="25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Calculation Linkbase Document</w:t>
            </w:r>
          </w:p>
        </w:tc>
        <w:tc>
          <w:tcPr>
            <w:tcW w:w="25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Definition Linkbase Document</w:t>
            </w:r>
          </w:p>
        </w:tc>
        <w:tc>
          <w:tcPr>
            <w:tcW w:w="25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Label Linkbase Document</w:t>
            </w:r>
          </w:p>
        </w:tc>
        <w:tc>
          <w:tcPr>
            <w:tcW w:w="25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 w:type="dxa"/>
            <w:vAlign w:val="bottom"/>
          </w:tcPr>
          <w:p>
            <w:pPr>
              <w:spacing w:after="0"/>
              <w:rPr>
                <w:sz w:val="20"/>
                <w:szCs w:val="20"/>
                <w:color w:val="auto"/>
              </w:rPr>
            </w:pPr>
          </w:p>
        </w:tc>
        <w:tc>
          <w:tcPr>
            <w:tcW w:w="5020" w:type="dxa"/>
            <w:vAlign w:val="bottom"/>
            <w:gridSpan w:val="2"/>
          </w:tcPr>
          <w:p>
            <w:pPr>
              <w:ind w:left="140"/>
              <w:spacing w:after="0"/>
              <w:rPr>
                <w:sz w:val="20"/>
                <w:szCs w:val="20"/>
                <w:color w:val="auto"/>
              </w:rPr>
            </w:pPr>
            <w:r>
              <w:rPr>
                <w:rFonts w:ascii="Arial" w:cs="Arial" w:eastAsia="Arial" w:hAnsi="Arial"/>
                <w:sz w:val="18"/>
                <w:szCs w:val="18"/>
                <w:color w:val="auto"/>
              </w:rPr>
              <w:t>Presentation Linkbase Document</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5" w:lineRule="exact"/>
        <w:rPr>
          <w:sz w:val="20"/>
          <w:szCs w:val="20"/>
          <w:color w:val="auto"/>
        </w:rPr>
      </w:pPr>
    </w:p>
    <w:p>
      <w:pPr>
        <w:ind w:left="440" w:hanging="39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40" w:hanging="39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440" w:hanging="396"/>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440" w:right="159" w:hanging="396"/>
        <w:spacing w:after="0" w:line="311" w:lineRule="auto"/>
        <w:tabs>
          <w:tab w:leader="none" w:pos="4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39" w:firstLine="648"/>
        <w:spacing w:after="0" w:line="308" w:lineRule="auto"/>
        <w:rPr>
          <w:sz w:val="20"/>
          <w:szCs w:val="20"/>
          <w:color w:val="auto"/>
        </w:rPr>
      </w:pPr>
      <w:r>
        <w:rPr>
          <w:rFonts w:ascii="Arial" w:cs="Arial" w:eastAsia="Arial" w:hAnsi="Arial"/>
          <w:sz w:val="17"/>
          <w:szCs w:val="17"/>
          <w:color w:val="auto"/>
        </w:rPr>
        <w:t>Pursuant to the requirements of Section 13 or Section 15(d)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6000" w:type="dxa"/>
            <w:vAlign w:val="bottom"/>
            <w:gridSpan w:val="2"/>
          </w:tcPr>
          <w:p>
            <w:pPr>
              <w:ind w:left="1580"/>
              <w:spacing w:after="0"/>
              <w:rPr>
                <w:sz w:val="20"/>
                <w:szCs w:val="20"/>
                <w:color w:val="auto"/>
              </w:rPr>
            </w:pPr>
            <w:r>
              <w:rPr>
                <w:rFonts w:ascii="Arial" w:cs="Arial" w:eastAsia="Arial" w:hAnsi="Arial"/>
                <w:sz w:val="18"/>
                <w:szCs w:val="18"/>
                <w:b w:val="1"/>
                <w:bCs w:val="1"/>
                <w:color w:val="auto"/>
              </w:rPr>
              <w:t>PROGYNY, INC.</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Date: March 9, 2020</w:t>
            </w:r>
          </w:p>
        </w:tc>
        <w:tc>
          <w:tcPr>
            <w:tcW w:w="6000" w:type="dxa"/>
            <w:vAlign w:val="bottom"/>
            <w:gridSpan w:val="2"/>
          </w:tcPr>
          <w:p>
            <w:pPr>
              <w:ind w:left="1580"/>
              <w:spacing w:after="0"/>
              <w:rPr>
                <w:sz w:val="20"/>
                <w:szCs w:val="20"/>
                <w:color w:val="auto"/>
              </w:rPr>
            </w:pPr>
            <w:r>
              <w:rPr>
                <w:rFonts w:ascii="Arial" w:cs="Arial" w:eastAsia="Arial" w:hAnsi="Arial"/>
                <w:sz w:val="18"/>
                <w:szCs w:val="18"/>
                <w:color w:val="auto"/>
              </w:rPr>
              <w:t>By: /s/ DAVID SCHLANGER</w:t>
            </w:r>
          </w:p>
        </w:tc>
      </w:tr>
      <w:tr>
        <w:trPr>
          <w:trHeight w:val="222"/>
        </w:trPr>
        <w:tc>
          <w:tcPr>
            <w:tcW w:w="2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David Schlanger</w:t>
            </w:r>
          </w:p>
        </w:tc>
      </w:tr>
      <w:tr>
        <w:trPr>
          <w:trHeight w:val="230"/>
        </w:trPr>
        <w:tc>
          <w:tcPr>
            <w:tcW w:w="2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864"/>
        </w:trPr>
        <w:tc>
          <w:tcPr>
            <w:tcW w:w="2920" w:type="dxa"/>
            <w:vAlign w:val="bottom"/>
          </w:tcPr>
          <w:p>
            <w:pPr>
              <w:spacing w:after="0"/>
              <w:rPr>
                <w:sz w:val="24"/>
                <w:szCs w:val="24"/>
                <w:color w:val="auto"/>
              </w:rPr>
            </w:pP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4140" w:type="dxa"/>
            <w:vAlign w:val="bottom"/>
          </w:tcPr>
          <w:p>
            <w:pPr>
              <w:spacing w:after="0"/>
              <w:rPr>
                <w:sz w:val="24"/>
                <w:szCs w:val="24"/>
                <w:color w:val="auto"/>
              </w:rPr>
            </w:pPr>
          </w:p>
        </w:tc>
      </w:tr>
      <w:tr>
        <w:trPr>
          <w:trHeight w:val="560"/>
        </w:trPr>
        <w:tc>
          <w:tcPr>
            <w:tcW w:w="2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40" w:right="179"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David Schlanger and Peter Anevski,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6" w:lineRule="exact"/>
        <w:rPr>
          <w:sz w:val="20"/>
          <w:szCs w:val="20"/>
          <w:color w:val="auto"/>
        </w:rPr>
      </w:pPr>
    </w:p>
    <w:p>
      <w:pPr>
        <w:ind w:left="40" w:right="39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March 9, 2020.</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8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1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DAVID SCHLANGER</w:t>
            </w:r>
          </w:p>
        </w:tc>
        <w:tc>
          <w:tcPr>
            <w:tcW w:w="20" w:type="dxa"/>
            <w:vAlign w:val="bottom"/>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3"/>
              </w:rPr>
              <w:t>Chief Executive Officer and 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David Schlanger</w:t>
            </w:r>
          </w:p>
        </w:tc>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(principal executive officer)</w:t>
            </w: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 xml:space="preserve">/s/ </w:t>
            </w:r>
            <w:r>
              <w:rPr>
                <w:rFonts w:ascii="Arial" w:cs="Arial" w:eastAsia="Arial" w:hAnsi="Arial"/>
                <w:sz w:val="18"/>
                <w:szCs w:val="18"/>
                <w:color w:val="auto"/>
                <w:w w:val="95"/>
              </w:rPr>
              <w:t>PETER ANEVSKI</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President, Chief Financial &amp; Operating Officer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Peter Anevski</w:t>
            </w:r>
          </w:p>
        </w:tc>
        <w:tc>
          <w:tcPr>
            <w:tcW w:w="20" w:type="dxa"/>
            <w:vAlign w:val="bottom"/>
          </w:tcPr>
          <w:p>
            <w:pPr>
              <w:spacing w:after="0"/>
              <w:rPr>
                <w:sz w:val="19"/>
                <w:szCs w:val="19"/>
                <w:color w:val="auto"/>
              </w:rPr>
            </w:pPr>
          </w:p>
        </w:tc>
        <w:tc>
          <w:tcPr>
            <w:tcW w:w="4480" w:type="dxa"/>
            <w:vAlign w:val="bottom"/>
            <w:gridSpan w:val="3"/>
          </w:tcPr>
          <w:p>
            <w:pPr>
              <w:jc w:val="center"/>
              <w:ind w:left="1010"/>
              <w:spacing w:after="0"/>
              <w:rPr>
                <w:sz w:val="20"/>
                <w:szCs w:val="20"/>
                <w:color w:val="auto"/>
              </w:rPr>
            </w:pPr>
            <w:r>
              <w:rPr>
                <w:rFonts w:ascii="Arial" w:cs="Arial" w:eastAsia="Arial" w:hAnsi="Arial"/>
                <w:sz w:val="18"/>
                <w:szCs w:val="18"/>
                <w:color w:val="auto"/>
                <w:w w:val="93"/>
              </w:rPr>
              <w:t>(principal financial and accounting officer)</w:t>
            </w: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 xml:space="preserve">/s/ </w:t>
            </w:r>
            <w:r>
              <w:rPr>
                <w:rFonts w:ascii="Arial" w:cs="Arial" w:eastAsia="Arial" w:hAnsi="Arial"/>
                <w:sz w:val="18"/>
                <w:szCs w:val="18"/>
                <w:color w:val="auto"/>
                <w:w w:val="94"/>
              </w:rPr>
              <w:t>BETH SEIDENBERG</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Beth Seidenberg, M.D.</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 xml:space="preserve">/s/ </w:t>
            </w:r>
            <w:r>
              <w:rPr>
                <w:rFonts w:ascii="Arial" w:cs="Arial" w:eastAsia="Arial" w:hAnsi="Arial"/>
                <w:sz w:val="18"/>
                <w:szCs w:val="18"/>
                <w:color w:val="auto"/>
                <w:w w:val="93"/>
              </w:rPr>
              <w:t>FRED COHEN</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Fred Cohen, M.D., D.Phil.</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KEVIN GORDON</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Kevin Gordon</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JEFFREY PARK</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Jeffrey Park</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 xml:space="preserve">/s/ </w:t>
            </w:r>
            <w:r>
              <w:rPr>
                <w:rFonts w:ascii="Arial" w:cs="Arial" w:eastAsia="Arial" w:hAnsi="Arial"/>
                <w:sz w:val="18"/>
                <w:szCs w:val="18"/>
                <w:color w:val="auto"/>
                <w:w w:val="94"/>
              </w:rPr>
              <w:t>NORMAN PAYSON</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Norman Payson, M.D.</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4"/>
        </w:trPr>
        <w:tc>
          <w:tcPr>
            <w:tcW w:w="4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 xml:space="preserve">/s/ </w:t>
            </w:r>
            <w:r>
              <w:rPr>
                <w:rFonts w:ascii="Arial" w:cs="Arial" w:eastAsia="Arial" w:hAnsi="Arial"/>
                <w:sz w:val="18"/>
                <w:szCs w:val="18"/>
                <w:color w:val="auto"/>
                <w:w w:val="93"/>
              </w:rPr>
              <w:t>CHERYL SCOTT</w:t>
            </w:r>
          </w:p>
        </w:tc>
        <w:tc>
          <w:tcPr>
            <w:tcW w:w="20" w:type="dxa"/>
            <w:vAlign w:val="bottom"/>
            <w:tcBorders>
              <w:bottom w:val="single" w:sz="8" w:color="auto"/>
            </w:tcBorders>
          </w:tcPr>
          <w:p>
            <w:pPr>
              <w:spacing w:after="0"/>
              <w:rPr>
                <w:sz w:val="24"/>
                <w:szCs w:val="24"/>
                <w:color w:val="auto"/>
              </w:rPr>
            </w:pPr>
          </w:p>
        </w:tc>
        <w:tc>
          <w:tcPr>
            <w:tcW w:w="4480" w:type="dxa"/>
            <w:vAlign w:val="bottom"/>
            <w:gridSpan w:val="3"/>
          </w:tcPr>
          <w:p>
            <w:pPr>
              <w:jc w:val="center"/>
              <w:ind w:left="990"/>
              <w:spacing w:after="0"/>
              <w:rPr>
                <w:sz w:val="20"/>
                <w:szCs w:val="20"/>
                <w:color w:val="auto"/>
              </w:rPr>
            </w:pPr>
            <w:r>
              <w:rPr>
                <w:rFonts w:ascii="Arial" w:cs="Arial" w:eastAsia="Arial" w:hAnsi="Arial"/>
                <w:sz w:val="18"/>
                <w:szCs w:val="18"/>
                <w:color w:val="auto"/>
                <w:w w:val="95"/>
              </w:rPr>
              <w:t>Director</w:t>
            </w:r>
          </w:p>
        </w:tc>
      </w:tr>
      <w:tr>
        <w:trPr>
          <w:trHeight w:val="228"/>
        </w:trPr>
        <w:tc>
          <w:tcPr>
            <w:tcW w:w="4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Cheryl Scott</w:t>
            </w:r>
          </w:p>
        </w:tc>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jc w:val="right"/>
        <w:ind w:right="219"/>
        <w:spacing w:after="0"/>
        <w:rPr>
          <w:sz w:val="20"/>
          <w:szCs w:val="20"/>
          <w:color w:val="auto"/>
        </w:rPr>
      </w:pPr>
      <w:r>
        <w:rPr>
          <w:rFonts w:ascii="Arial" w:cs="Arial" w:eastAsia="Arial" w:hAnsi="Arial"/>
          <w:sz w:val="20"/>
          <w:szCs w:val="20"/>
          <w:b w:val="1"/>
          <w:bCs w:val="1"/>
          <w:color w:val="auto"/>
        </w:rPr>
        <w:t>Exhibit 4.6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PROGYNY, INC. SECURITIES</w:t>
      </w:r>
    </w:p>
    <w:p>
      <w:pPr>
        <w:spacing w:after="0" w:line="197" w:lineRule="exact"/>
        <w:rPr>
          <w:sz w:val="20"/>
          <w:szCs w:val="20"/>
          <w:color w:val="auto"/>
        </w:rPr>
      </w:pPr>
    </w:p>
    <w:p>
      <w:pPr>
        <w:ind w:left="200" w:right="379" w:firstLine="648"/>
        <w:spacing w:after="0" w:line="237" w:lineRule="auto"/>
        <w:rPr>
          <w:sz w:val="20"/>
          <w:szCs w:val="20"/>
          <w:color w:val="auto"/>
        </w:rPr>
      </w:pPr>
      <w:r>
        <w:rPr>
          <w:rFonts w:ascii="Arial" w:cs="Arial" w:eastAsia="Arial" w:hAnsi="Arial"/>
          <w:sz w:val="17"/>
          <w:szCs w:val="17"/>
          <w:i w:val="1"/>
          <w:iCs w:val="1"/>
          <w:color w:val="auto"/>
        </w:rPr>
        <w:t>As of December 31, 2019, Progyny, Inc. had one class of securities registered under Section 12 of the Securities Exchange Act of 1934, as amended, or the Exchange Act: our common stock, par value $0.0001 per share. When we use the words “we,” “us,” “our” or the “Company,” we are referring to Progyny, Inc.</w:t>
      </w:r>
    </w:p>
    <w:p>
      <w:pPr>
        <w:spacing w:after="0" w:line="163" w:lineRule="exact"/>
        <w:rPr>
          <w:sz w:val="20"/>
          <w:szCs w:val="20"/>
          <w:color w:val="auto"/>
        </w:rPr>
      </w:pPr>
    </w:p>
    <w:p>
      <w:pPr>
        <w:ind w:left="200" w:right="279" w:firstLine="648"/>
        <w:spacing w:after="0" w:line="237" w:lineRule="auto"/>
        <w:rPr>
          <w:sz w:val="20"/>
          <w:szCs w:val="20"/>
          <w:color w:val="auto"/>
        </w:rPr>
      </w:pPr>
      <w:r>
        <w:rPr>
          <w:rFonts w:ascii="Arial" w:cs="Arial" w:eastAsia="Arial" w:hAnsi="Arial"/>
          <w:sz w:val="16"/>
          <w:szCs w:val="16"/>
          <w:i w:val="1"/>
          <w:iCs w:val="1"/>
          <w:color w:val="auto"/>
        </w:rPr>
        <w:t>The following description of our capital stock is a summary and does not purport to be complete It is subject to, and qualified in its entirety by reference to, the applicable provisions of our restated certificate of incorporation, which we refer to as our “certificate of incorporation,” our amended and restated bylaws, which we refer to as our “bylaws,” and our amended and restated investor rights agreement, which we refer to as our “investor rights agreement.” The certificate of incorporation, bylaws and investor rights agreement are incorporated by reference as Exhibits 3.1, 3.2 and 10.1, respectively, to our Annual Report on Form 10-K for the year ended December 31, 2019, of which this Exhibit 4.6 is a part. We encourage you to read our certificate of incorporation, our bylaws, our investor rights agreement and the applicable provisions of the Delaware General Corporation Law for more information.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left="200" w:right="319" w:firstLine="873"/>
        <w:spacing w:after="0" w:line="224" w:lineRule="auto"/>
        <w:rPr>
          <w:sz w:val="20"/>
          <w:szCs w:val="20"/>
          <w:color w:val="auto"/>
        </w:rPr>
      </w:pPr>
      <w:r>
        <w:rPr>
          <w:rFonts w:ascii="Arial" w:cs="Arial" w:eastAsia="Arial" w:hAnsi="Arial"/>
          <w:sz w:val="18"/>
          <w:szCs w:val="18"/>
          <w:color w:val="auto"/>
        </w:rPr>
        <w:t>Our authorized capital stock consists of 1,100,000,000 shares, all with a par value of $0.0001 per share, consisting of 1,000,000,000 shares of common stock and 100,000,000 shares of preferred stock. Our common stock is listed on the Nasdaq Global Select Market under the symbol “PGNY.”</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Common Stock</w:t>
      </w:r>
    </w:p>
    <w:p>
      <w:pPr>
        <w:spacing w:after="0" w:line="50" w:lineRule="exact"/>
        <w:rPr>
          <w:sz w:val="20"/>
          <w:szCs w:val="20"/>
          <w:color w:val="auto"/>
        </w:rPr>
      </w:pPr>
    </w:p>
    <w:p>
      <w:pPr>
        <w:ind w:left="200" w:right="299" w:firstLine="648"/>
        <w:spacing w:after="0" w:line="214"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common stock is entitled to one vote per share on any matter that is submitted to a vote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stockholders, including the election of directors. Our amended and restated certificate of incorporation does not provide for cumulative voting for the election of directors. Accordingly, the holders of a majority of the outstanding shares of common stock entitled to vote in any election of directors can elect all of the directors standing for election, if they so choose, other than any directors that holders of any redeemable convertible preferred stock we may issue may be entitled to elect.</w:t>
      </w:r>
    </w:p>
    <w:p>
      <w:pPr>
        <w:spacing w:after="0" w:line="162" w:lineRule="exact"/>
        <w:rPr>
          <w:sz w:val="20"/>
          <w:szCs w:val="20"/>
          <w:color w:val="auto"/>
        </w:rPr>
      </w:pPr>
    </w:p>
    <w:p>
      <w:pPr>
        <w:ind w:left="200" w:right="339" w:firstLine="648"/>
        <w:spacing w:after="0" w:line="226"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Subject to preferences that may be applicable to any then outstanding redeemable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preferred stock, holders of common stock are entitled to receive ratably those dividends, if any, as may be declared by the board of directors out of legally available funds.</w:t>
      </w:r>
    </w:p>
    <w:p>
      <w:pPr>
        <w:spacing w:after="0" w:line="158" w:lineRule="exact"/>
        <w:rPr>
          <w:sz w:val="20"/>
          <w:szCs w:val="20"/>
          <w:color w:val="auto"/>
        </w:rPr>
      </w:pPr>
    </w:p>
    <w:p>
      <w:pPr>
        <w:jc w:val="both"/>
        <w:ind w:left="200" w:right="239" w:firstLine="648"/>
        <w:spacing w:after="0" w:line="220" w:lineRule="auto"/>
        <w:rPr>
          <w:sz w:val="20"/>
          <w:szCs w:val="20"/>
          <w:color w:val="auto"/>
        </w:rPr>
      </w:pPr>
      <w:r>
        <w:rPr>
          <w:rFonts w:ascii="Arial" w:cs="Arial" w:eastAsia="Arial" w:hAnsi="Arial"/>
          <w:sz w:val="18"/>
          <w:szCs w:val="18"/>
          <w:b w:val="1"/>
          <w:bCs w:val="1"/>
          <w:color w:val="auto"/>
        </w:rPr>
        <w:t xml:space="preserve">Rights upon liquidation. </w:t>
      </w:r>
      <w:r>
        <w:rPr>
          <w:rFonts w:ascii="Arial" w:cs="Arial" w:eastAsia="Arial" w:hAnsi="Arial"/>
          <w:sz w:val="18"/>
          <w:szCs w:val="18"/>
          <w:color w:val="auto"/>
        </w:rPr>
        <w:t>In the event of our liquidation, dissolution, or winding up, the holders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entitled to share ratably in the assets legally available for distribution to stockholders after the payment of or provision for all of our debts and other liabilities, subject to the prior rights of any redeemable convertible preferred stock then outstanding.</w:t>
      </w:r>
    </w:p>
    <w:p>
      <w:pPr>
        <w:spacing w:after="0" w:line="159" w:lineRule="exact"/>
        <w:rPr>
          <w:sz w:val="20"/>
          <w:szCs w:val="20"/>
          <w:color w:val="auto"/>
        </w:rPr>
      </w:pPr>
    </w:p>
    <w:p>
      <w:pPr>
        <w:ind w:left="200" w:right="299" w:firstLine="648"/>
        <w:spacing w:after="0" w:line="227" w:lineRule="auto"/>
        <w:rPr>
          <w:sz w:val="20"/>
          <w:szCs w:val="20"/>
          <w:color w:val="auto"/>
        </w:rPr>
      </w:pPr>
      <w:r>
        <w:rPr>
          <w:rFonts w:ascii="Arial" w:cs="Arial" w:eastAsia="Arial" w:hAnsi="Arial"/>
          <w:sz w:val="17"/>
          <w:szCs w:val="17"/>
          <w:b w:val="1"/>
          <w:bCs w:val="1"/>
          <w:color w:val="auto"/>
        </w:rPr>
        <w:t xml:space="preserve">Other rights. </w:t>
      </w:r>
      <w:r>
        <w:rPr>
          <w:rFonts w:ascii="Arial" w:cs="Arial" w:eastAsia="Arial" w:hAnsi="Arial"/>
          <w:sz w:val="17"/>
          <w:szCs w:val="17"/>
          <w:color w:val="auto"/>
        </w:rPr>
        <w:t>Holders of common stock have no preemptive or conversion rights or other subscription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there are no redemption or sinking funds provisions applicable to the common stock. All outstanding shares of common stock are, and the common stock to be outstanding upon the completion of this offering will be, duly authorized, validly issued, fully paid, and nonassessable. The rights, preferences and privileges of holders of common stock are subject to and may be adversely affected by the rights of the holders of shares of any series of redeemable convertible preferred stock that we may designate and issue in the future.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67" w:lineRule="exact"/>
        <w:rPr>
          <w:sz w:val="20"/>
          <w:szCs w:val="20"/>
          <w:color w:val="auto"/>
        </w:rPr>
      </w:pPr>
    </w:p>
    <w:p>
      <w:pPr>
        <w:ind w:left="200" w:right="519" w:firstLine="873"/>
        <w:spacing w:after="0" w:line="259" w:lineRule="auto"/>
        <w:rPr>
          <w:sz w:val="20"/>
          <w:szCs w:val="20"/>
          <w:color w:val="auto"/>
        </w:rPr>
      </w:pPr>
      <w:r>
        <w:rPr>
          <w:rFonts w:ascii="Arial" w:cs="Arial" w:eastAsia="Arial" w:hAnsi="Arial"/>
          <w:sz w:val="16"/>
          <w:szCs w:val="16"/>
          <w:color w:val="auto"/>
        </w:rPr>
        <w:t>We are party to an investor rights agreement that provides that certain holders of our common stock, including certain holders of at least 5% of our capital stock and entities affiliated with certain of our directors, have rights, to require us to file registration statements covering the sale of their shares or to include their shares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316865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2" w:name="page113"/>
    <w:bookmarkEnd w:id="112"/>
    <w:p>
      <w:pPr>
        <w:ind w:left="200" w:right="359"/>
        <w:spacing w:after="0" w:line="232" w:lineRule="auto"/>
        <w:rPr>
          <w:sz w:val="20"/>
          <w:szCs w:val="20"/>
          <w:color w:val="auto"/>
        </w:rPr>
      </w:pPr>
      <w:r>
        <w:rPr>
          <w:rFonts w:ascii="Arial" w:cs="Arial" w:eastAsia="Arial" w:hAnsi="Arial"/>
          <w:sz w:val="16"/>
          <w:szCs w:val="16"/>
          <w:color w:val="auto"/>
        </w:rPr>
        <w:t>registration statements that we may file for ourselves or other stockholders. The registration of shares of our common stock by the exercise of registration rights described below would enable the holders to sell these shares without restriction under the Securities Act of 1933, as amended, or the Securities Act, when the applicable registration statement is declared effective. We will pay the registration expenses, other than underwriting discounts and commissions and legal fees in excess of $30,000, of the shares registered pursuant to such registration rights. The registration rights under our investor rights agreement will expire upon the earliest to occur of (1) October 24, 2022,</w:t>
      </w:r>
    </w:p>
    <w:p>
      <w:pPr>
        <w:spacing w:after="0" w:line="2" w:lineRule="exact"/>
        <w:rPr>
          <w:sz w:val="20"/>
          <w:szCs w:val="20"/>
          <w:color w:val="auto"/>
        </w:rPr>
      </w:pPr>
    </w:p>
    <w:p>
      <w:pPr>
        <w:ind w:left="200" w:right="499" w:firstLine="9"/>
        <w:spacing w:after="0" w:line="218" w:lineRule="auto"/>
        <w:tabs>
          <w:tab w:leader="none" w:pos="4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deemed liquidation event, as such term is defined in our then-current certificate of incorporation and (3) with respect to any particular stockholder, such time that such stockholder can sell all of its shares under Rule 144 of the Securities Act during any 90-day period.</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63" w:lineRule="exact"/>
        <w:rPr>
          <w:sz w:val="20"/>
          <w:szCs w:val="20"/>
          <w:color w:val="auto"/>
        </w:rPr>
      </w:pPr>
    </w:p>
    <w:p>
      <w:pPr>
        <w:ind w:left="200" w:right="319" w:firstLine="1008"/>
        <w:spacing w:after="0" w:line="221"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common stock will be able to elect all of our directors. Our certificate of incorporation and bylaws provide for stockholder actions at a duly called meeting of stockholders, and not by consent in writing. A special meeting of stockholders may be called only by a majority of our board of directors, the chair of our board of directors, our chief executive officer or our lead independent director. Our bylaws establish an advance notice procedure for stockholder proposals to be brought before an annual meeting of our stockholders, including proposed nominations of persons for election to our board of directors. In accordance with our certificate of incorporation, our board of directors is divided into three classes with staggered three-year terms. Our certificate of incorporation further provides that our directors may be removed for cause only upon the vote of at least two-thirds of our outstanding shares of voting stock. Further, our certificate of incorporation requires the approval of our board of directors or the holders of at least two-thirds of our outstanding shares of voting stock to amend our bylaws and certain provisions of our certificate of incorporation.</w:t>
      </w:r>
    </w:p>
    <w:p>
      <w:pPr>
        <w:spacing w:after="0" w:line="41" w:lineRule="exact"/>
        <w:rPr>
          <w:sz w:val="20"/>
          <w:szCs w:val="20"/>
          <w:color w:val="auto"/>
        </w:rPr>
      </w:pPr>
    </w:p>
    <w:p>
      <w:pPr>
        <w:ind w:left="200" w:right="299" w:firstLine="648"/>
        <w:spacing w:after="0" w:line="214" w:lineRule="auto"/>
        <w:rPr>
          <w:sz w:val="20"/>
          <w:szCs w:val="20"/>
          <w:color w:val="auto"/>
        </w:rPr>
      </w:pPr>
      <w:r>
        <w:rPr>
          <w:rFonts w:ascii="Arial" w:cs="Arial" w:eastAsia="Arial" w:hAnsi="Arial"/>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7" w:lineRule="exact"/>
        <w:rPr>
          <w:sz w:val="20"/>
          <w:szCs w:val="20"/>
          <w:color w:val="auto"/>
        </w:rPr>
      </w:pPr>
    </w:p>
    <w:p>
      <w:pPr>
        <w:ind w:left="200" w:right="279" w:firstLine="1008"/>
        <w:spacing w:after="0" w:line="236" w:lineRule="auto"/>
        <w:rPr>
          <w:sz w:val="20"/>
          <w:szCs w:val="20"/>
          <w:color w:val="auto"/>
        </w:rPr>
      </w:pPr>
      <w:r>
        <w:rPr>
          <w:rFonts w:ascii="Arial" w:cs="Arial" w:eastAsia="Arial" w:hAnsi="Arial"/>
          <w:sz w:val="16"/>
          <w:szCs w:val="16"/>
          <w:color w:val="auto"/>
        </w:rPr>
        <w:t>These provisions are intended to preserve our existing control structure after completion of this offering, facilitate our continued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63" w:lineRule="exact"/>
        <w:rPr>
          <w:sz w:val="20"/>
          <w:szCs w:val="20"/>
          <w:color w:val="auto"/>
        </w:rPr>
      </w:pPr>
    </w:p>
    <w:p>
      <w:pPr>
        <w:ind w:left="200" w:right="379" w:firstLine="1008"/>
        <w:spacing w:after="0" w:line="226" w:lineRule="auto"/>
        <w:rPr>
          <w:sz w:val="20"/>
          <w:szCs w:val="20"/>
          <w:color w:val="auto"/>
        </w:rPr>
      </w:pPr>
      <w:r>
        <w:rPr>
          <w:rFonts w:ascii="Arial" w:cs="Arial" w:eastAsia="Arial" w:hAnsi="Arial"/>
          <w:sz w:val="17"/>
          <w:szCs w:val="17"/>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 The existence of this provision would be expected to have an anti-takeover effect with respect to transactions not approved in advance by our board of directors, including discouraging takeover attempts that might result in a premium over the market price for the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3" w:name="page114"/>
    <w:bookmarkEnd w:id="113"/>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67" w:lineRule="exact"/>
        <w:rPr>
          <w:sz w:val="20"/>
          <w:szCs w:val="20"/>
          <w:color w:val="auto"/>
        </w:rPr>
      </w:pPr>
    </w:p>
    <w:p>
      <w:pPr>
        <w:jc w:val="both"/>
        <w:ind w:left="200" w:right="239" w:firstLine="360"/>
        <w:spacing w:after="0" w:line="234"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exclusive forum for actions or proceedings brought under Delaware statutory or common law:</w:t>
      </w:r>
    </w:p>
    <w:p>
      <w:pPr>
        <w:ind w:left="460" w:hanging="251"/>
        <w:spacing w:after="0" w:line="216"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(2) any action asserting a breach of fiduciary duty;</w:t>
      </w:r>
    </w:p>
    <w:p>
      <w:pPr>
        <w:ind w:left="200" w:right="359" w:firstLine="9"/>
        <w:spacing w:after="0" w:line="225" w:lineRule="auto"/>
        <w:tabs>
          <w:tab w:leader="none" w:pos="4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(4) any action regarding our certificate of incorporation or our bylaws; (5) any action as to which the DGCL confers jurisdiction to the Court of Chancery of the State of Delaware; or (6) any action asserting a claim against us that is governed by the internal affairs doctrine. This provision would not apply to claims brought to enforce a duty or liability created by the Exchange Act or any other claim for which the federal courts have exclusive jurisdiction.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1180465</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4" w:name="page115"/>
    <w:bookmarkEnd w:id="114"/>
    <w:p>
      <w:pPr>
        <w:jc w:val="right"/>
        <w:ind w:right="219"/>
        <w:spacing w:after="0"/>
        <w:rPr>
          <w:sz w:val="20"/>
          <w:szCs w:val="20"/>
          <w:color w:val="auto"/>
        </w:rPr>
      </w:pPr>
      <w:r>
        <w:rPr>
          <w:rFonts w:ascii="Arial" w:cs="Arial" w:eastAsia="Arial" w:hAnsi="Arial"/>
          <w:sz w:val="20"/>
          <w:szCs w:val="20"/>
          <w:b w:val="1"/>
          <w:bCs w:val="1"/>
          <w:color w:val="auto"/>
        </w:rPr>
        <w:t>Exhibit 23.1</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 consent to the incorporation by reference in the following Registration Statement:</w:t>
      </w:r>
    </w:p>
    <w:p>
      <w:pPr>
        <w:spacing w:after="0" w:line="121" w:lineRule="exact"/>
        <w:rPr>
          <w:sz w:val="20"/>
          <w:szCs w:val="20"/>
          <w:color w:val="auto"/>
        </w:rPr>
      </w:pPr>
    </w:p>
    <w:p>
      <w:pPr>
        <w:ind w:left="860" w:hanging="327"/>
        <w:spacing w:after="0"/>
        <w:tabs>
          <w:tab w:leader="none" w:pos="8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Registration Statement on Form S-8 (No. 333-234342) pertaining to the following plans:</w:t>
      </w:r>
    </w:p>
    <w:p>
      <w:pPr>
        <w:spacing w:after="0" w:line="96" w:lineRule="exact"/>
        <w:rPr>
          <w:rFonts w:ascii="Arial" w:cs="Arial" w:eastAsia="Arial" w:hAnsi="Arial"/>
          <w:sz w:val="20"/>
          <w:szCs w:val="20"/>
          <w:color w:val="auto"/>
        </w:rPr>
      </w:pPr>
    </w:p>
    <w:p>
      <w:pPr>
        <w:ind w:left="1500" w:hanging="319"/>
        <w:spacing w:after="0"/>
        <w:tabs>
          <w:tab w:leader="none" w:pos="15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2019 Equity Incentive Plan</w:t>
      </w:r>
    </w:p>
    <w:p>
      <w:pPr>
        <w:ind w:left="1500" w:hanging="319"/>
        <w:spacing w:after="0" w:line="197" w:lineRule="auto"/>
        <w:tabs>
          <w:tab w:leader="none" w:pos="15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2019 Employee Stock Purchase Plan</w:t>
      </w:r>
    </w:p>
    <w:p>
      <w:pPr>
        <w:ind w:left="1500" w:hanging="319"/>
        <w:spacing w:after="0" w:line="197" w:lineRule="auto"/>
        <w:tabs>
          <w:tab w:leader="none" w:pos="15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2017 Equity Incentive Plan</w:t>
      </w:r>
    </w:p>
    <w:p>
      <w:pPr>
        <w:ind w:left="1500" w:hanging="319"/>
        <w:spacing w:after="0"/>
        <w:tabs>
          <w:tab w:leader="none" w:pos="15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2008 Stock Plan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our reports dated March 9, 2020, with respect to the consolidated financial statements of Progyny, Inc.</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included in this Annual Report (Form 10-K) of Progyny, Inc. for the year ended December 31, 2019.</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 Ernst &amp; Young LLP</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New York, New York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March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567690</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5" w:name="page116"/>
    <w:bookmarkEnd w:id="115"/>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David Schlanger, certify that:</w:t>
      </w:r>
    </w:p>
    <w:p>
      <w:pPr>
        <w:spacing w:after="0" w:line="198" w:lineRule="exact"/>
        <w:rPr>
          <w:sz w:val="20"/>
          <w:szCs w:val="20"/>
          <w:color w:val="auto"/>
        </w:rPr>
      </w:pPr>
    </w:p>
    <w:p>
      <w:pPr>
        <w:ind w:left="860" w:hanging="32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Progyny, Inc.;</w:t>
      </w:r>
    </w:p>
    <w:p>
      <w:pPr>
        <w:spacing w:after="0" w:line="184" w:lineRule="exact"/>
        <w:rPr>
          <w:rFonts w:ascii="Arial" w:cs="Arial" w:eastAsia="Arial" w:hAnsi="Arial"/>
          <w:sz w:val="18"/>
          <w:szCs w:val="18"/>
          <w:color w:val="auto"/>
        </w:rPr>
      </w:pPr>
    </w:p>
    <w:p>
      <w:pPr>
        <w:ind w:left="860" w:right="239" w:hanging="327"/>
        <w:spacing w:after="0" w:line="259"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6" w:lineRule="exact"/>
        <w:rPr>
          <w:rFonts w:ascii="Arial" w:cs="Arial" w:eastAsia="Arial" w:hAnsi="Arial"/>
          <w:sz w:val="16"/>
          <w:szCs w:val="16"/>
          <w:color w:val="auto"/>
        </w:rPr>
      </w:pPr>
    </w:p>
    <w:p>
      <w:pPr>
        <w:ind w:left="860" w:right="239" w:hanging="327"/>
        <w:spacing w:after="0" w:line="224"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Arial" w:cs="Arial" w:eastAsia="Arial" w:hAnsi="Arial"/>
          <w:sz w:val="18"/>
          <w:szCs w:val="18"/>
          <w:color w:val="auto"/>
        </w:rPr>
      </w:pPr>
    </w:p>
    <w:p>
      <w:pPr>
        <w:jc w:val="both"/>
        <w:ind w:left="860" w:right="479" w:hanging="327"/>
        <w:spacing w:after="0" w:line="224"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Arial" w:cs="Arial" w:eastAsia="Arial" w:hAnsi="Arial"/>
          <w:sz w:val="18"/>
          <w:szCs w:val="18"/>
          <w:color w:val="auto"/>
        </w:rPr>
      </w:pPr>
    </w:p>
    <w:p>
      <w:pPr>
        <w:ind w:left="1280" w:right="259" w:hanging="423"/>
        <w:spacing w:after="0" w:line="219"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2" w:lineRule="exact"/>
        <w:rPr>
          <w:rFonts w:ascii="Arial" w:cs="Arial" w:eastAsia="Arial" w:hAnsi="Arial"/>
          <w:sz w:val="18"/>
          <w:szCs w:val="18"/>
          <w:color w:val="auto"/>
        </w:rPr>
      </w:pPr>
    </w:p>
    <w:p>
      <w:pPr>
        <w:ind w:left="1280" w:hanging="423"/>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1280" w:right="399" w:hanging="423"/>
        <w:spacing w:after="0" w:line="259" w:lineRule="auto"/>
        <w:tabs>
          <w:tab w:leader="none" w:pos="12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6"/>
          <w:szCs w:val="16"/>
          <w:color w:val="auto"/>
        </w:rPr>
      </w:pPr>
    </w:p>
    <w:p>
      <w:pPr>
        <w:ind w:left="1280" w:right="279" w:hanging="423"/>
        <w:spacing w:after="0" w:line="232"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7"/>
          <w:szCs w:val="17"/>
          <w:color w:val="auto"/>
        </w:rPr>
      </w:pPr>
    </w:p>
    <w:p>
      <w:pPr>
        <w:ind w:left="860" w:right="259" w:hanging="327"/>
        <w:spacing w:after="0" w:line="224"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280" w:right="379" w:hanging="423"/>
        <w:spacing w:after="0" w:line="224"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pacing w:after="0" w:line="395" w:lineRule="exact"/>
        <w:rPr>
          <w:sz w:val="20"/>
          <w:szCs w:val="20"/>
          <w:color w:val="auto"/>
        </w:rPr>
      </w:pPr>
    </w:p>
    <w:p>
      <w:pPr>
        <w:ind w:left="220"/>
        <w:spacing w:after="0"/>
        <w:tabs>
          <w:tab w:leader="none" w:pos="4700" w:val="left"/>
          <w:tab w:leader="none" w:pos="618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-1905</wp:posOffset>
            </wp:positionV>
            <wp:extent cx="24003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ind w:left="6300"/>
        <w:spacing w:after="0" w:line="232" w:lineRule="auto"/>
        <w:rPr>
          <w:sz w:val="20"/>
          <w:szCs w:val="20"/>
          <w:color w:val="auto"/>
        </w:rPr>
      </w:pPr>
      <w:r>
        <w:rPr>
          <w:rFonts w:ascii="Arial" w:cs="Arial" w:eastAsia="Arial" w:hAnsi="Arial"/>
          <w:sz w:val="18"/>
          <w:szCs w:val="18"/>
          <w:color w:val="auto"/>
        </w:rPr>
        <w:t>David Schlanger</w:t>
      </w:r>
    </w:p>
    <w:p>
      <w:pPr>
        <w:ind w:left="60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6" w:name="page117"/>
    <w:bookmarkEnd w:id="116"/>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Peter Anevski, certify that:</w:t>
      </w:r>
    </w:p>
    <w:p>
      <w:pPr>
        <w:spacing w:after="0" w:line="185" w:lineRule="exact"/>
        <w:rPr>
          <w:sz w:val="20"/>
          <w:szCs w:val="20"/>
          <w:color w:val="auto"/>
        </w:rPr>
      </w:pPr>
    </w:p>
    <w:p>
      <w:pPr>
        <w:ind w:left="860" w:hanging="327"/>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Progyny, Inc.;</w:t>
      </w:r>
    </w:p>
    <w:p>
      <w:pPr>
        <w:spacing w:after="0" w:line="184" w:lineRule="exact"/>
        <w:rPr>
          <w:rFonts w:ascii="Arial" w:cs="Arial" w:eastAsia="Arial" w:hAnsi="Arial"/>
          <w:sz w:val="18"/>
          <w:szCs w:val="18"/>
          <w:color w:val="auto"/>
        </w:rPr>
      </w:pPr>
    </w:p>
    <w:p>
      <w:pPr>
        <w:ind w:left="860" w:right="239" w:hanging="327"/>
        <w:spacing w:after="0" w:line="259"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6" w:lineRule="exact"/>
        <w:rPr>
          <w:rFonts w:ascii="Arial" w:cs="Arial" w:eastAsia="Arial" w:hAnsi="Arial"/>
          <w:sz w:val="16"/>
          <w:szCs w:val="16"/>
          <w:color w:val="auto"/>
        </w:rPr>
      </w:pPr>
    </w:p>
    <w:p>
      <w:pPr>
        <w:ind w:left="860" w:right="239" w:hanging="327"/>
        <w:spacing w:after="0" w:line="22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2" w:lineRule="exact"/>
        <w:rPr>
          <w:rFonts w:ascii="Arial" w:cs="Arial" w:eastAsia="Arial" w:hAnsi="Arial"/>
          <w:sz w:val="18"/>
          <w:szCs w:val="18"/>
          <w:color w:val="auto"/>
        </w:rPr>
      </w:pPr>
    </w:p>
    <w:p>
      <w:pPr>
        <w:jc w:val="both"/>
        <w:ind w:left="860" w:right="479" w:hanging="327"/>
        <w:spacing w:after="0" w:line="22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Arial" w:cs="Arial" w:eastAsia="Arial" w:hAnsi="Arial"/>
          <w:sz w:val="18"/>
          <w:szCs w:val="18"/>
          <w:color w:val="auto"/>
        </w:rPr>
      </w:pPr>
    </w:p>
    <w:p>
      <w:pPr>
        <w:ind w:left="1280" w:right="259" w:hanging="423"/>
        <w:spacing w:after="0" w:line="219" w:lineRule="auto"/>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2" w:lineRule="exact"/>
        <w:rPr>
          <w:rFonts w:ascii="Arial" w:cs="Arial" w:eastAsia="Arial" w:hAnsi="Arial"/>
          <w:sz w:val="18"/>
          <w:szCs w:val="18"/>
          <w:color w:val="auto"/>
        </w:rPr>
      </w:pPr>
    </w:p>
    <w:p>
      <w:pPr>
        <w:ind w:left="1280" w:hanging="423"/>
        <w:spacing w:after="0"/>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[omitted];</w:t>
      </w:r>
    </w:p>
    <w:p>
      <w:pPr>
        <w:spacing w:after="0" w:line="184" w:lineRule="exact"/>
        <w:rPr>
          <w:rFonts w:ascii="Arial" w:cs="Arial" w:eastAsia="Arial" w:hAnsi="Arial"/>
          <w:sz w:val="18"/>
          <w:szCs w:val="18"/>
          <w:color w:val="auto"/>
        </w:rPr>
      </w:pPr>
    </w:p>
    <w:p>
      <w:pPr>
        <w:ind w:left="1280" w:right="399" w:hanging="423"/>
        <w:spacing w:after="0" w:line="259" w:lineRule="auto"/>
        <w:tabs>
          <w:tab w:leader="none" w:pos="12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6" w:lineRule="exact"/>
        <w:rPr>
          <w:rFonts w:ascii="Arial" w:cs="Arial" w:eastAsia="Arial" w:hAnsi="Arial"/>
          <w:sz w:val="16"/>
          <w:szCs w:val="16"/>
          <w:color w:val="auto"/>
        </w:rPr>
      </w:pPr>
    </w:p>
    <w:p>
      <w:pPr>
        <w:ind w:left="1280" w:right="279" w:hanging="423"/>
        <w:spacing w:after="0" w:line="232" w:lineRule="auto"/>
        <w:tabs>
          <w:tab w:leader="none" w:pos="12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7"/>
          <w:szCs w:val="17"/>
          <w:color w:val="auto"/>
        </w:rPr>
      </w:pPr>
    </w:p>
    <w:p>
      <w:pPr>
        <w:ind w:left="860" w:right="259" w:hanging="327"/>
        <w:spacing w:after="0" w:line="22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280" w:right="379" w:hanging="423"/>
        <w:spacing w:after="0" w:line="224" w:lineRule="auto"/>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280" w:right="959" w:hanging="423"/>
        <w:spacing w:after="0" w:line="235" w:lineRule="auto"/>
        <w:tabs>
          <w:tab w:leader="none" w:pos="12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20"/>
        <w:spacing w:after="0"/>
        <w:tabs>
          <w:tab w:leader="none" w:pos="4660" w:val="left"/>
          <w:tab w:leader="none" w:pos="624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-1905</wp:posOffset>
            </wp:positionV>
            <wp:extent cx="24345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ind w:left="6360"/>
        <w:spacing w:after="0" w:line="232" w:lineRule="auto"/>
        <w:rPr>
          <w:sz w:val="20"/>
          <w:szCs w:val="20"/>
          <w:color w:val="auto"/>
        </w:rPr>
      </w:pPr>
      <w:r>
        <w:rPr>
          <w:rFonts w:ascii="Arial" w:cs="Arial" w:eastAsia="Arial" w:hAnsi="Arial"/>
          <w:sz w:val="18"/>
          <w:szCs w:val="18"/>
          <w:color w:val="auto"/>
        </w:rPr>
        <w:t>Peter Anevski</w:t>
      </w:r>
    </w:p>
    <w:p>
      <w:pPr>
        <w:ind w:left="5280"/>
        <w:spacing w:after="0" w:line="203" w:lineRule="auto"/>
        <w:rPr>
          <w:sz w:val="20"/>
          <w:szCs w:val="20"/>
          <w:color w:val="auto"/>
        </w:rPr>
      </w:pPr>
      <w:r>
        <w:rPr>
          <w:rFonts w:ascii="Arial" w:cs="Arial" w:eastAsia="Arial" w:hAnsi="Arial"/>
          <w:sz w:val="18"/>
          <w:szCs w:val="18"/>
          <w:color w:val="auto"/>
        </w:rPr>
        <w:t>President, Chief Financial Officer and Chief</w:t>
      </w:r>
    </w:p>
    <w:p>
      <w:pPr>
        <w:jc w:val="center"/>
        <w:ind w:left="4720"/>
        <w:spacing w:after="0" w:line="204" w:lineRule="auto"/>
        <w:rPr>
          <w:sz w:val="20"/>
          <w:szCs w:val="20"/>
          <w:color w:val="auto"/>
        </w:rPr>
      </w:pPr>
      <w:r>
        <w:rPr>
          <w:rFonts w:ascii="Arial" w:cs="Arial" w:eastAsia="Arial" w:hAnsi="Arial"/>
          <w:sz w:val="18"/>
          <w:szCs w:val="18"/>
          <w:color w:val="auto"/>
        </w:rPr>
        <w:t>Operating Officer</w:t>
      </w:r>
    </w:p>
    <w:p>
      <w:pPr>
        <w:jc w:val="center"/>
        <w:ind w:left="4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7" w:name="page118"/>
    <w:bookmarkEnd w:id="117"/>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ind w:left="2160" w:right="2179"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left="200" w:right="259" w:firstLine="441"/>
        <w:spacing w:after="0" w:line="259" w:lineRule="auto"/>
        <w:rPr>
          <w:sz w:val="20"/>
          <w:szCs w:val="20"/>
          <w:color w:val="auto"/>
        </w:rPr>
      </w:pPr>
      <w:r>
        <w:rPr>
          <w:rFonts w:ascii="Arial" w:cs="Arial" w:eastAsia="Arial" w:hAnsi="Arial"/>
          <w:sz w:val="16"/>
          <w:szCs w:val="16"/>
          <w:color w:val="auto"/>
        </w:rPr>
        <w:t>In connection with the Annual Report on Form 10-K of Progyny, Inc. (the “Company”) for the period ending December 31, 2019 as filed with the Securities and Exchange Commission on the date hereof (the “Report”), I certify, pursuant to 18 U.S.C. § 1350, as adopted pursuant to § 906 of the Sarbanes -Oxley Act of 2002, that, to my knowledge:</w:t>
      </w:r>
    </w:p>
    <w:p>
      <w:pPr>
        <w:spacing w:after="0" w:line="147" w:lineRule="exact"/>
        <w:rPr>
          <w:sz w:val="20"/>
          <w:szCs w:val="20"/>
          <w:color w:val="auto"/>
        </w:rPr>
      </w:pPr>
    </w:p>
    <w:p>
      <w:pPr>
        <w:ind w:left="1100" w:right="299" w:hanging="450"/>
        <w:spacing w:after="0" w:line="235" w:lineRule="auto"/>
        <w:tabs>
          <w:tab w:leader="none" w:pos="11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100" w:right="499" w:hanging="450"/>
        <w:spacing w:after="0" w:line="235" w:lineRule="auto"/>
        <w:tabs>
          <w:tab w:leader="none" w:pos="11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220"/>
        <w:spacing w:after="0"/>
        <w:tabs>
          <w:tab w:leader="none" w:pos="4340" w:val="left"/>
          <w:tab w:leader="none" w:pos="598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-1905</wp:posOffset>
            </wp:positionV>
            <wp:extent cx="26403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6100"/>
        <w:spacing w:after="0" w:line="232" w:lineRule="auto"/>
        <w:rPr>
          <w:sz w:val="20"/>
          <w:szCs w:val="20"/>
          <w:color w:val="auto"/>
        </w:rPr>
      </w:pPr>
      <w:r>
        <w:rPr>
          <w:rFonts w:ascii="Arial" w:cs="Arial" w:eastAsia="Arial" w:hAnsi="Arial"/>
          <w:sz w:val="18"/>
          <w:szCs w:val="18"/>
          <w:color w:val="auto"/>
        </w:rPr>
        <w:t>David Schlanger</w:t>
      </w:r>
    </w:p>
    <w:p>
      <w:pPr>
        <w:ind w:left="58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8" w:name="page119"/>
    <w:bookmarkEnd w:id="118"/>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ind w:left="2160" w:right="2179"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left="200" w:right="259" w:firstLine="441"/>
        <w:spacing w:after="0" w:line="259" w:lineRule="auto"/>
        <w:rPr>
          <w:sz w:val="20"/>
          <w:szCs w:val="20"/>
          <w:color w:val="auto"/>
        </w:rPr>
      </w:pPr>
      <w:r>
        <w:rPr>
          <w:rFonts w:ascii="Arial" w:cs="Arial" w:eastAsia="Arial" w:hAnsi="Arial"/>
          <w:sz w:val="16"/>
          <w:szCs w:val="16"/>
          <w:color w:val="auto"/>
        </w:rPr>
        <w:t>In connection with the Annual Report on Form 10-K of Progyny, Inc. (the “Company”) for the period ending December 31, 2019 as filed with the Securities and Exchange Commission on the date hereof (the “Report”), I certify, pursuant to 18 U.S.C. § 1350, as adopted pursuant to § 906 of the Sarbanes -Oxley Act of 2002, that, to my knowledge:</w:t>
      </w:r>
    </w:p>
    <w:p>
      <w:pPr>
        <w:spacing w:after="0" w:line="147" w:lineRule="exact"/>
        <w:rPr>
          <w:sz w:val="20"/>
          <w:szCs w:val="20"/>
          <w:color w:val="auto"/>
        </w:rPr>
      </w:pPr>
    </w:p>
    <w:p>
      <w:pPr>
        <w:ind w:left="1100" w:right="299" w:hanging="450"/>
        <w:spacing w:after="0" w:line="235" w:lineRule="auto"/>
        <w:tabs>
          <w:tab w:leader="none" w:pos="11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100" w:right="499" w:hanging="450"/>
        <w:spacing w:after="0" w:line="235" w:lineRule="auto"/>
        <w:tabs>
          <w:tab w:leader="none" w:pos="11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20"/>
        <w:spacing w:after="0"/>
        <w:tabs>
          <w:tab w:leader="none" w:pos="4300" w:val="left"/>
          <w:tab w:leader="none" w:pos="606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-1905</wp:posOffset>
            </wp:positionV>
            <wp:extent cx="2657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6200"/>
        <w:spacing w:after="0" w:line="232" w:lineRule="auto"/>
        <w:rPr>
          <w:sz w:val="20"/>
          <w:szCs w:val="20"/>
          <w:color w:val="auto"/>
        </w:rPr>
      </w:pPr>
      <w:r>
        <w:rPr>
          <w:rFonts w:ascii="Arial" w:cs="Arial" w:eastAsia="Arial" w:hAnsi="Arial"/>
          <w:sz w:val="18"/>
          <w:szCs w:val="18"/>
          <w:color w:val="auto"/>
        </w:rPr>
        <w:t>Peter Anevski</w:t>
      </w:r>
    </w:p>
    <w:p>
      <w:pPr>
        <w:ind w:left="4720"/>
        <w:spacing w:after="0" w:line="216" w:lineRule="auto"/>
        <w:rPr>
          <w:sz w:val="20"/>
          <w:szCs w:val="20"/>
          <w:color w:val="auto"/>
        </w:rPr>
      </w:pPr>
      <w:r>
        <w:rPr>
          <w:rFonts w:ascii="Arial" w:cs="Arial" w:eastAsia="Arial" w:hAnsi="Arial"/>
          <w:sz w:val="17"/>
          <w:szCs w:val="17"/>
          <w:color w:val="auto"/>
        </w:rPr>
        <w:t>President, Chief Financial Officer and Chief Operating</w:t>
      </w:r>
    </w:p>
    <w:p>
      <w:pPr>
        <w:jc w:val="center"/>
        <w:ind w:left="4380"/>
        <w:spacing w:after="0" w:line="203" w:lineRule="auto"/>
        <w:rPr>
          <w:sz w:val="20"/>
          <w:szCs w:val="20"/>
          <w:color w:val="auto"/>
        </w:rPr>
      </w:pPr>
      <w:r>
        <w:rPr>
          <w:rFonts w:ascii="Arial" w:cs="Arial" w:eastAsia="Arial" w:hAnsi="Arial"/>
          <w:sz w:val="18"/>
          <w:szCs w:val="18"/>
          <w:color w:val="auto"/>
        </w:rPr>
        <w:t>Officer</w:t>
      </w:r>
    </w:p>
    <w:p>
      <w:pPr>
        <w:jc w:val="center"/>
        <w:ind w:left="4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lvl w:ilvl="1">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amp;"/>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2"/>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decimal"/>
      <w:start w:val="12"/>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decimal"/>
      <w:start w:val="1"/>
    </w:lvl>
    <w:lvl w:ilvl="1">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20" Type="http://schemas.openxmlformats.org/officeDocument/2006/relationships/hyperlink" Target="http://www.sec.gov/Archives/edgar/data/1551306/000104746919005487/a2239750zex-3_2.htm" TargetMode="External"/><Relationship Id="rId121" Type="http://schemas.openxmlformats.org/officeDocument/2006/relationships/hyperlink" Target="http://www.sec.gov/Archives/edgar/data/1551306/000104746919005487/a2239750zex-3_4.htm" TargetMode="External"/><Relationship Id="rId122" Type="http://schemas.openxmlformats.org/officeDocument/2006/relationships/hyperlink" Target="http://www.sec.gov/Archives/edgar/data/1551306/000104746919005727/a2239825zex-4_1.htm" TargetMode="External"/><Relationship Id="rId123" Type="http://schemas.openxmlformats.org/officeDocument/2006/relationships/hyperlink" Target="http://www.sec.gov/Archives/edgar/data/1551306/000104746919005727/a2239825zex-4_2.htm" TargetMode="External"/><Relationship Id="rId124" Type="http://schemas.openxmlformats.org/officeDocument/2006/relationships/hyperlink" Target="http://www.sec.gov/Archives/edgar/data/1551306/000104746919005727/a2239825zex-4_3.htm" TargetMode="External"/><Relationship Id="rId125" Type="http://schemas.openxmlformats.org/officeDocument/2006/relationships/hyperlink" Target="http://www.sec.gov/Archives/edgar/data/1551306/000104746919005727/a2239825zex-4_4.htm" TargetMode="External"/><Relationship Id="rId126" Type="http://schemas.openxmlformats.org/officeDocument/2006/relationships/hyperlink" Target="http://www.sec.gov/Archives/edgar/data/1551306/000104746919005727/a2239825zex-4_5.htm" TargetMode="External"/><Relationship Id="rId127" Type="http://schemas.openxmlformats.org/officeDocument/2006/relationships/hyperlink" Target="http://www.sec.gov/Archives/edgar/data/1551306/000104746919005487/a2239750zex-10_1.htm" TargetMode="External"/><Relationship Id="rId128" Type="http://schemas.openxmlformats.org/officeDocument/2006/relationships/hyperlink" Target="http://www.sec.gov/Archives/edgar/data/1551306/000104746919005487/a2239750zex-10_2.htm" TargetMode="External"/><Relationship Id="rId129" Type="http://schemas.openxmlformats.org/officeDocument/2006/relationships/hyperlink" Target="http://www.sec.gov/Archives/edgar/data/1551306/000110465919056592/a19-11098_10ex99d2.htm" TargetMode="External"/><Relationship Id="rId130" Type="http://schemas.openxmlformats.org/officeDocument/2006/relationships/hyperlink" Target="http://www.sec.gov/Archives/edgar/data/1551306/000104746919005727/a2239825zex-10_4.htm" TargetMode="External"/><Relationship Id="rId131" Type="http://schemas.openxmlformats.org/officeDocument/2006/relationships/hyperlink" Target="http://www.sec.gov/Archives/edgar/data/1551306/000104746919005727/a2239825zex-10_5.htm" TargetMode="External"/><Relationship Id="rId132" Type="http://schemas.openxmlformats.org/officeDocument/2006/relationships/hyperlink" Target="http://www.sec.gov/Archives/edgar/data/1551306/000104746919005487/a2239750zex-10_6.htm" TargetMode="External"/><Relationship Id="rId133" Type="http://schemas.openxmlformats.org/officeDocument/2006/relationships/hyperlink" Target="http://www.sec.gov/Archives/edgar/data/1551306/000104746919005487/a2239750zex-10_7.htm" TargetMode="External"/><Relationship Id="rId134" Type="http://schemas.openxmlformats.org/officeDocument/2006/relationships/hyperlink" Target="http://www.sec.gov/Archives/edgar/data/1551306/000104746919005487/a2239750zex-10_8.htm" TargetMode="External"/><Relationship Id="rId135" Type="http://schemas.openxmlformats.org/officeDocument/2006/relationships/hyperlink" Target="http://www.sec.gov/Archives/edgar/data/1551306/000104746919005487/a2239750zex-10_9.htm" TargetMode="External"/><Relationship Id="rId136" Type="http://schemas.openxmlformats.org/officeDocument/2006/relationships/hyperlink" Target="http://www.sec.gov/Archives/edgar/data/1551306/000104746919005487/a2239750zex-10_11.htm" TargetMode="External"/><Relationship Id="rId137" Type="http://schemas.openxmlformats.org/officeDocument/2006/relationships/hyperlink" Target="http://www.sec.gov/Archives/edgar/data/1551306/000104746919005487/a2239750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2020-03-10T05:11:09Z</dcterms:created>
  <dcterms:modified xsi:type="dcterms:W3CDTF">2020-03-10T05:11:09Z</dcterms:modified>
</cp:coreProperties>
</file>