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1125855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903605</wp:posOffset>
            </wp:positionV>
            <wp:extent cx="712343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342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23"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8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ind w:left="4300"/>
        <w:spacing w:after="0" w:line="223" w:lineRule="auto"/>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September 18, 2024</w:t>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Progyny, Inc.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377"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6"/>
          <w:szCs w:val="16"/>
          <w:b w:val="1"/>
          <w:bCs w:val="1"/>
          <w:color w:val="auto"/>
        </w:rPr>
        <w:t>001-39100</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27-2220139</w:t>
      </w:r>
    </w:p>
    <w:p>
      <w:pPr>
        <w:spacing w:after="0" w:line="75" w:lineRule="exact"/>
        <w:rPr>
          <w:sz w:val="24"/>
          <w:szCs w:val="24"/>
          <w:color w:val="auto"/>
        </w:rPr>
      </w:pPr>
    </w:p>
    <w:p>
      <w:pPr>
        <w:sectPr>
          <w:pgSz w:w="11900" w:h="16838" w:orient="portrait"/>
          <w:cols w:equalWidth="0" w:num="3">
            <w:col w:w="4540" w:space="720"/>
            <w:col w:w="2980" w:space="720"/>
            <w:col w:w="2280"/>
          </w:cols>
          <w:pgMar w:left="320" w:top="1440"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26"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Times New Roman" w:cs="Times New Roman" w:eastAsia="Times New Roman" w:hAnsi="Times New Roman"/>
          <w:sz w:val="16"/>
          <w:szCs w:val="16"/>
          <w:color w:val="auto"/>
        </w:rPr>
        <w:t>(IRS Employer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440" w:space="720"/>
            <w:col w:w="2880" w:space="720"/>
            <w:col w:w="2480"/>
          </w:cols>
          <w:pgMar w:left="320" w:top="1440" w:right="339" w:bottom="144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1359 Broadway</w:t>
      </w:r>
    </w:p>
    <w:p>
      <w:pPr>
        <w:spacing w:after="0" w:line="28"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10018</w:t>
      </w:r>
    </w:p>
    <w:p>
      <w:pPr>
        <w:spacing w:after="0" w:line="75" w:lineRule="exact"/>
        <w:rPr>
          <w:sz w:val="24"/>
          <w:szCs w:val="24"/>
          <w:color w:val="auto"/>
        </w:rPr>
      </w:pPr>
    </w:p>
    <w:p>
      <w:pPr>
        <w:sectPr>
          <w:pgSz w:w="11900" w:h="16838" w:orient="portrait"/>
          <w:cols w:equalWidth="0" w:num="2">
            <w:col w:w="7500" w:space="720"/>
            <w:col w:w="3020"/>
          </w:cols>
          <w:pgMar w:left="320" w:top="1440" w:right="33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7340" w:space="720"/>
            <w:col w:w="3180"/>
          </w:cols>
          <w:pgMar w:left="320" w:top="1440"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888-3124</w:t>
      </w: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4" w:lineRule="exact"/>
        <w:rPr>
          <w:rFonts w:ascii="MS PGothic" w:cs="MS PGothic" w:eastAsia="MS PGothic" w:hAnsi="MS PGothic"/>
          <w:sz w:val="16"/>
          <w:szCs w:val="16"/>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21" w:lineRule="exact"/>
        <w:rPr>
          <w:rFonts w:ascii="MS PGothic" w:cs="MS PGothic" w:eastAsia="MS PGothic" w:hAnsi="MS PGothic"/>
          <w:sz w:val="16"/>
          <w:szCs w:val="16"/>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6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38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43"/>
        </w:trPr>
        <w:tc>
          <w:tcPr>
            <w:tcW w:w="39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r>
        <w:trPr>
          <w:trHeight w:val="217"/>
        </w:trPr>
        <w:tc>
          <w:tcPr>
            <w:tcW w:w="4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3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PGNY</w:t>
            </w:r>
          </w:p>
        </w:tc>
        <w:tc>
          <w:tcPr>
            <w:tcW w:w="338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bl>
    <w:p>
      <w:pPr>
        <w:spacing w:after="0" w:line="208" w:lineRule="exact"/>
        <w:rPr>
          <w:sz w:val="24"/>
          <w:szCs w:val="24"/>
          <w:color w:val="auto"/>
        </w:rPr>
      </w:pPr>
    </w:p>
    <w:p>
      <w:pPr>
        <w:ind w:right="6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2" w:lineRule="exact"/>
        <w:rPr>
          <w:sz w:val="24"/>
          <w:szCs w:val="24"/>
          <w:color w:val="auto"/>
        </w:rPr>
      </w:pPr>
    </w:p>
    <w:p>
      <w:pPr>
        <w:ind w:right="58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1355725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2343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Progyny, Inc. (the “Company”) was recently notified by a significant client (the “Client”) that the Client has elected to exercise a 90-day option to terminate its services agreement with the Company, effective as of January 1, 2025. The Client confirmed that they had no issues of concern over the course of its multi-year relationship with the Company, including member satisfaction or quality of service or outcomes. There have not been any disputes with the Client during the course of service.</w:t>
      </w:r>
    </w:p>
    <w:p>
      <w:pPr>
        <w:spacing w:after="0" w:line="208"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As the existing agreement remains in effect for the remainder of this calendar year, the termination of these services is not expected to have an adverse impact on the Company’s financial results for its fiscal year ending December 31, 2024. The Client, which represents approximately 670,000 members as of June 30, 2024, comprised 12% and 13% of the Company’s revenue for the six-month period ending June 30, 2024, and the twelve-month period ending December 31, 2023, respectively. The Client comprises a smaller percentage of the Company’s Adjusted EBITDA and no other existing client comprises more than a single digit percentage of revenue or Adjusted EBITDA.</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continues to anticipate an increase in its overall member count in 2025 as compared to 2024. The Company remains disciplined in managing its business and is well-positioned to continue on its established path of achieving growth, profitability and cash flow by seeking to ensure that members are getting the right care at the right time as they realize their dreams of family building and ideal health.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This report contains forward-looking statements, including, without limitation, statements regarding financial outlook, including the impact of the sales season and client launches; anticipated number of clients and covered lives; expected utilization rates and average revenue per utilizing member; the demand for solutions; expectations for the selling season for 2025 launches; positioning to successfully manage economic uncertainty on the business; the timing of client decisions; ability to retain existing clients and acquire new clients; and business strategy, plans, goals and expectations concerning market position, future operations, and other financial and operating information. The words “anticipates,” “assumes,” “believe,” “contemplate,” “continues, ” “could,” “estimates,” “expects,” “future,” “intends,” “may,” “plans,” “predict,” “potential,” “project,” “seeks,” “should,” “target,” “will,” and the negative of these or similar expressions and phrases are intended to identify forward-looking statements, though not all forward-looking statements use these words or expressions. Forward-looking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For a detailed discussion of factors that could cause actual results to differ materially from these forward-looking statements, please refer to the Company’s filings with the Securities and Exchange Commission (the “SEC”), including in the section entitled “Risk Factors” in the Company’s Annual Report on Form 10-K for the fiscal year ended December 31, 2023, and subsequent reports that the Company files with the SEC. Forward-looking statements represent management’s beliefs and assumptions only as of the date of this report. Actual future results could differ materially from expectations. Except as required by law, the Company assumes no obligation to update these forward-looking statements publicly, or to update the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786130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880" w:type="dxa"/>
            <w:vAlign w:val="bottom"/>
          </w:tcPr>
          <w:p>
            <w:pPr>
              <w:ind w:left="3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68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r>
      <w:tr>
        <w:trPr>
          <w:trHeight w:val="228"/>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8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28"/>
        </w:trPr>
        <w:tc>
          <w:tcPr>
            <w:tcW w:w="16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7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September 18, 2024</w:t>
      </w:r>
    </w:p>
    <w:p>
      <w:pPr>
        <w:spacing w:after="0" w:line="63" w:lineRule="exact"/>
        <w:rPr>
          <w:sz w:val="20"/>
          <w:szCs w:val="20"/>
          <w:color w:val="auto"/>
        </w:rPr>
      </w:pPr>
    </w:p>
    <w:p>
      <w:pPr>
        <w:ind w:left="55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51435</wp:posOffset>
            </wp:positionV>
            <wp:extent cx="2931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8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Peter Anevski</w:t>
      </w:r>
    </w:p>
    <w:p>
      <w:pPr>
        <w:spacing w:after="0" w:line="7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060"/>
      </w:cols>
      <w:pgMar w:left="320" w:top="14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2024-09-18T16:00:07Z</dcterms:created>
  <dcterms:modified xsi:type="dcterms:W3CDTF">2024-09-18T16:00:07Z</dcterms:modified>
</cp:coreProperties>
</file>