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640" w:hanging="614"/>
        <w:spacing w:after="0"/>
        <w:tabs>
          <w:tab w:leader="none" w:pos="64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640" w:hanging="614"/>
        <w:spacing w:after="0"/>
        <w:tabs>
          <w:tab w:leader="none" w:pos="64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001-39100</w:t>
      </w:r>
    </w:p>
    <w:p>
      <w:pPr>
        <w:spacing w:after="0" w:line="2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Progyny, Inc.</w:t>
      </w:r>
    </w:p>
    <w:p>
      <w:pPr>
        <w:sectPr>
          <w:pgSz w:w="11900" w:h="16838" w:orient="portrait"/>
          <w:cols w:equalWidth="0" w:num="1">
            <w:col w:w="11260"/>
          </w:cols>
          <w:pgMar w:left="320" w:top="256" w:right="319" w:bottom="1440" w:gutter="0" w:footer="0" w:header="0"/>
        </w:sectPr>
      </w:pPr>
    </w:p>
    <w:p>
      <w:pPr>
        <w:spacing w:after="0" w:line="77"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440"/>
        <w:spacing w:after="0"/>
        <w:rPr>
          <w:sz w:val="20"/>
          <w:szCs w:val="20"/>
          <w:color w:val="auto"/>
        </w:rPr>
      </w:pPr>
      <w:r>
        <w:rPr>
          <w:rFonts w:ascii="Times New Roman" w:cs="Times New Roman" w:eastAsia="Times New Roman" w:hAnsi="Times New Roman"/>
          <w:sz w:val="19"/>
          <w:szCs w:val="19"/>
          <w:color w:val="auto"/>
        </w:rPr>
        <w:t>____________________________________________</w:t>
      </w:r>
    </w:p>
    <w:p>
      <w:pPr>
        <w:spacing w:after="0" w:line="15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73"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3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1359 Broadway</w:t>
      </w:r>
    </w:p>
    <w:p>
      <w:pPr>
        <w:spacing w:after="0" w:line="2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 xml:space="preserve">New York, </w:t>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27-2220139</w:t>
      </w:r>
    </w:p>
    <w:p>
      <w:pPr>
        <w:spacing w:after="0" w:line="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7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10018</w:t>
      </w:r>
    </w:p>
    <w:p>
      <w:pPr>
        <w:spacing w:after="0" w:line="73" w:lineRule="exact"/>
        <w:rPr>
          <w:sz w:val="24"/>
          <w:szCs w:val="24"/>
          <w:color w:val="auto"/>
        </w:rPr>
      </w:pPr>
    </w:p>
    <w:p>
      <w:pPr>
        <w:sectPr>
          <w:pgSz w:w="11900" w:h="16838" w:orient="portrait"/>
          <w:cols w:equalWidth="0" w:num="2">
            <w:col w:w="7800" w:space="200"/>
            <w:col w:w="3260"/>
          </w:cols>
          <w:pgMar w:left="320" w:top="256" w:right="319" w:bottom="1440" w:gutter="0" w:footer="0" w:header="0"/>
          <w:type w:val="continuous"/>
        </w:sectPr>
      </w:pPr>
    </w:p>
    <w:p>
      <w:pPr>
        <w:ind w:left="1920"/>
        <w:spacing w:after="0"/>
        <w:tabs>
          <w:tab w:leader="none" w:pos="8160"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(212) 888-3124</w:t>
      </w:r>
    </w:p>
    <w:p>
      <w:pPr>
        <w:spacing w:after="0" w:line="1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5"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76"/>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33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PGNY</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ind w:left="1080"/>
        <w:spacing w:after="0"/>
        <w:rPr>
          <w:sz w:val="20"/>
          <w:szCs w:val="20"/>
          <w:color w:val="auto"/>
        </w:rPr>
      </w:pPr>
      <w:r>
        <w:rPr>
          <w:rFonts w:ascii="Times New Roman" w:cs="Times New Roman" w:eastAsia="Times New Roman" w:hAnsi="Times New Roman"/>
          <w:sz w:val="14"/>
          <w:szCs w:val="14"/>
          <w:color w:val="auto"/>
        </w:rPr>
        <w:t>$0.0001 par value per share</w:t>
      </w:r>
    </w:p>
    <w:p>
      <w:pPr>
        <w:spacing w:after="0" w:line="228"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1660"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o</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16"/>
        </w:trPr>
        <w:tc>
          <w:tcPr>
            <w:tcW w:w="2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7" w:lineRule="exact"/>
        <w:rPr>
          <w:sz w:val="24"/>
          <w:szCs w:val="24"/>
          <w:color w:val="auto"/>
        </w:rPr>
      </w:pPr>
    </w:p>
    <w:p>
      <w:pPr>
        <w:ind w:left="660" w:right="326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April 30, 2024, the registrant had 95,220,688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2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760" w:type="dxa"/>
            <w:vAlign w:val="bottom"/>
            <w:gridSpan w:val="11"/>
            <w:vMerge w:val="restart"/>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40" w:type="dxa"/>
            <w:vAlign w:val="bottom"/>
            <w:tcBorders>
              <w:bottom w:val="single" w:sz="8" w:color="0000FF"/>
            </w:tcBorders>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400" w:type="dxa"/>
            <w:vAlign w:val="bottom"/>
            <w:tcBorders>
              <w:bottom w:val="single" w:sz="8" w:color="0000FF"/>
            </w:tcBorders>
            <w:gridSpan w:val="9"/>
            <w:vMerge w:val="continue"/>
          </w:tcPr>
          <w:p>
            <w:pPr>
              <w:spacing w:after="0"/>
              <w:rPr>
                <w:sz w:val="15"/>
                <w:szCs w:val="15"/>
                <w:color w:val="auto"/>
              </w:rPr>
            </w:pPr>
          </w:p>
        </w:tc>
        <w:tc>
          <w:tcPr>
            <w:tcW w:w="6760" w:type="dxa"/>
            <w:vAlign w:val="bottom"/>
            <w:gridSpan w:val="11"/>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8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2024 and December 31, 2023</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2024 and 2023</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Months Ended March 31, 2024 and 2023</w:t>
            </w:r>
          </w:p>
        </w:tc>
        <w:tc>
          <w:tcPr>
            <w:tcW w:w="1260" w:type="dxa"/>
            <w:vAlign w:val="bottom"/>
            <w:gridSpan w:val="2"/>
          </w:tcPr>
          <w:p>
            <w:pPr>
              <w:spacing w:after="0"/>
              <w:rPr>
                <w:sz w:val="20"/>
                <w:szCs w:val="20"/>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Three Months Ended March 31, 2024 and 2023</w:t>
            </w:r>
          </w:p>
        </w:tc>
        <w:tc>
          <w:tcPr>
            <w:tcW w:w="600" w:type="dxa"/>
            <w:vAlign w:val="bottom"/>
          </w:tcPr>
          <w:p>
            <w:pPr>
              <w:spacing w:after="0"/>
              <w:rPr>
                <w:sz w:val="20"/>
                <w:szCs w:val="20"/>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3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2024 and 2023</w:t>
            </w:r>
          </w:p>
        </w:tc>
        <w:tc>
          <w:tcPr>
            <w:tcW w:w="6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00" w:type="dxa"/>
            <w:vAlign w:val="bottom"/>
            <w:gridSpan w:val="6"/>
          </w:tcPr>
          <w:p>
            <w:pPr>
              <w:spacing w:after="0"/>
              <w:rPr>
                <w:sz w:val="20"/>
                <w:szCs w:val="20"/>
                <w:color w:val="auto"/>
              </w:rPr>
            </w:pPr>
          </w:p>
        </w:tc>
        <w:tc>
          <w:tcPr>
            <w:tcW w:w="2140" w:type="dxa"/>
            <w:vAlign w:val="bottom"/>
            <w:gridSpan w:val="3"/>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Borders>
              <w:bottom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0"/>
                <w:szCs w:val="20"/>
                <w:color w:val="auto"/>
              </w:rPr>
            </w:pPr>
          </w:p>
        </w:tc>
        <w:tc>
          <w:tcPr>
            <w:tcW w:w="2700" w:type="dxa"/>
            <w:vAlign w:val="bottom"/>
            <w:gridSpan w:val="5"/>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8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80" w:type="dxa"/>
            <w:vAlign w:val="bottom"/>
            <w:gridSpan w:val="14"/>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80" w:type="dxa"/>
            <w:vAlign w:val="bottom"/>
          </w:tcPr>
          <w:p>
            <w:pPr>
              <w:spacing w:after="0"/>
              <w:rPr>
                <w:sz w:val="24"/>
                <w:szCs w:val="24"/>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140" w:type="dxa"/>
            <w:vAlign w:val="bottom"/>
            <w:gridSpan w:val="13"/>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40" w:type="dxa"/>
            <w:vAlign w:val="bottom"/>
            <w:gridSpan w:val="21"/>
          </w:tcPr>
          <w:p>
            <w:pPr>
              <w:ind w:left="580"/>
              <w:spacing w:after="0"/>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Borders>
              <w:bottom w:val="single" w:sz="8" w:color="0000FF"/>
            </w:tcBorders>
          </w:tcPr>
          <w:p>
            <w:pPr>
              <w:spacing w:after="0"/>
              <w:rPr>
                <w:sz w:val="20"/>
                <w:szCs w:val="20"/>
                <w:color w:val="auto"/>
              </w:rPr>
            </w:pPr>
          </w:p>
        </w:tc>
        <w:tc>
          <w:tcPr>
            <w:tcW w:w="580" w:type="dxa"/>
            <w:vAlign w:val="bottom"/>
          </w:tcPr>
          <w:p>
            <w:pPr>
              <w:spacing w:after="0"/>
              <w:rPr>
                <w:sz w:val="20"/>
                <w:szCs w:val="20"/>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00" w:type="dxa"/>
            <w:vAlign w:val="bottom"/>
            <w:gridSpan w:val="8"/>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820" w:type="dxa"/>
            <w:vAlign w:val="bottom"/>
            <w:gridSpan w:val="12"/>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580" w:type="dxa"/>
            <w:vAlign w:val="bottom"/>
          </w:tcPr>
          <w:p>
            <w:pPr>
              <w:spacing w:after="0"/>
              <w:rPr>
                <w:sz w:val="20"/>
                <w:szCs w:val="20"/>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380" w:type="dxa"/>
            <w:vAlign w:val="bottom"/>
            <w:gridSpan w:val="14"/>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0" w:type="dxa"/>
            <w:vAlign w:val="bottom"/>
            <w:tcBorders>
              <w:top w:val="single" w:sz="8" w:color="0000FF"/>
            </w:tcBorders>
          </w:tcPr>
          <w:p>
            <w:pPr>
              <w:spacing w:after="0"/>
              <w:rPr>
                <w:sz w:val="20"/>
                <w:szCs w:val="20"/>
                <w:color w:val="auto"/>
              </w:rPr>
            </w:pP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20" w:type="dxa"/>
            <w:vAlign w:val="bottom"/>
            <w:gridSpan w:val="15"/>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17"/>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840" w:type="dxa"/>
            <w:vAlign w:val="bottom"/>
            <w:gridSpan w:val="11"/>
          </w:tcPr>
          <w:p>
            <w:pPr>
              <w:jc w:val="right"/>
              <w:ind w:right="124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and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impacts of the COVID-19 pandemic, including variants,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“seek,” “assume,” “future,”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83"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results of operations, which would cause our stock price to decline.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fertility market in which we participate is competitive, and if we do not continue to compete effectively, our results of operations could be harmed.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global economy or our industry could limit our ability to grow our business and negatively affect our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variants and resurgences, has had and may continue to have, and similar health epidemics or pandemics could in the future have, an adverse impact on our business, operations, and the markets and communities in which we and our clients, members and providers operate.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level or the mix of the utilization of our solutions could have an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and monitoring of, third parties, including channel partners and vendors, as well as insurance carriers.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complex and evolving legal and regulatory requirements, as well as complex judicial mandates.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“Progyny,” “the Company,” “we,” “our” and “us” refer to Progyny, Inc. and its wholly owned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announce material information to the public through filings with the SEC, our investor relations website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97,296</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273,791</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$50,054 and $46,636 of allowances at March 31, 2024 and December 31, 2023,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794,304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203,191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6)</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8180" w:type="dxa"/>
            <w:vAlign w:val="bottom"/>
            <w:shd w:val="clear" w:color="auto" w:fill="CCEEFF"/>
          </w:tcPr>
          <w:p>
            <w:pPr>
              <w:ind w:left="180"/>
              <w:spacing w:after="0" w:line="182"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96,839,393 and 96,348,522 shares</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issued; 96,115,816 and 96,348,522 shares outstanding at March 31, 2024 and December 31, 2023,</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461,639</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$0.0001 par value; 1,339,557 and 615,980 shares at March 31, 2024 and December 31,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earnings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89,971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571,604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553,429</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794,304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54"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22225</wp:posOffset>
            </wp:positionV>
            <wp:extent cx="2717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1"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278,078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258,394</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5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215,672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199,754</w:t>
            </w: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58,640</w:t>
            </w:r>
          </w:p>
        </w:tc>
        <w:tc>
          <w:tcPr>
            <w:tcW w:w="0" w:type="dxa"/>
            <w:vAlign w:val="bottom"/>
          </w:tcPr>
          <w:p>
            <w:pPr>
              <w:spacing w:after="0"/>
              <w:rPr>
                <w:sz w:val="1"/>
                <w:szCs w:val="1"/>
                <w:color w:val="auto"/>
              </w:rPr>
            </w:pPr>
          </w:p>
        </w:tc>
      </w:tr>
      <w:tr>
        <w:trPr>
          <w:trHeight w:val="25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28,429</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29,347</w:t>
            </w: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43,883</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43,629</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5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5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5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5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5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5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5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81"/>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6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57"/>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5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96,484,657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93,832,873</w:t>
            </w: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101,052,933</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100,166,008</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56" w:right="6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4"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22225</wp:posOffset>
            </wp:positionV>
            <wp:extent cx="2392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204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w:t>
            </w:r>
          </w:p>
        </w:tc>
      </w:tr>
      <w:tr>
        <w:trPr>
          <w:trHeight w:val="25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3"/>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marketable securities before reclassifications</w:t>
            </w:r>
          </w:p>
        </w:tc>
        <w:tc>
          <w:tcPr>
            <w:tcW w:w="1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5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 of gains on the sale of marketable securities into net income</w:t>
            </w:r>
          </w:p>
        </w:tc>
        <w:tc>
          <w:tcPr>
            <w:tcW w:w="1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56"/>
        </w:trPr>
        <w:tc>
          <w:tcPr>
            <w:tcW w:w="7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change on unrealized gains on marketable securities</w:t>
            </w:r>
          </w:p>
        </w:tc>
        <w:tc>
          <w:tcPr>
            <w:tcW w:w="1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5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17,901</w:t>
            </w:r>
          </w:p>
        </w:tc>
      </w:tr>
      <w:tr>
        <w:trPr>
          <w:trHeight w:val="21"/>
        </w:trPr>
        <w:tc>
          <w:tcPr>
            <w:tcW w:w="7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280" w:type="dxa"/>
            <w:vAlign w:val="bottom"/>
          </w:tcPr>
          <w:p>
            <w:pPr>
              <w:spacing w:after="0"/>
              <w:rPr>
                <w:sz w:val="10"/>
                <w:szCs w:val="10"/>
                <w:color w:val="auto"/>
              </w:rPr>
            </w:pPr>
          </w:p>
        </w:tc>
        <w:tc>
          <w:tcPr>
            <w:tcW w:w="20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0"/>
                <w:szCs w:val="10"/>
                <w:color w:val="auto"/>
              </w:rPr>
            </w:pPr>
          </w:p>
        </w:tc>
        <w:tc>
          <w:tcPr>
            <w:tcW w:w="102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20" w:type="dxa"/>
            <w:vAlign w:val="bottom"/>
          </w:tcPr>
          <w:p>
            <w:pPr>
              <w:spacing w:after="0"/>
              <w:rPr>
                <w:sz w:val="10"/>
                <w:szCs w:val="10"/>
                <w:color w:val="auto"/>
              </w:rPr>
            </w:pPr>
          </w:p>
        </w:tc>
        <w:tc>
          <w:tcPr>
            <w:tcW w:w="106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6"/>
                <w:szCs w:val="16"/>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96,348,522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461,639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89,971</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553,429</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490,871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0" w:type="dxa"/>
            <w:vAlign w:val="bottom"/>
          </w:tcPr>
          <w:p>
            <w:pPr>
              <w:spacing w:after="0"/>
              <w:rPr>
                <w:sz w:val="1"/>
                <w:szCs w:val="1"/>
                <w:color w:val="auto"/>
              </w:rPr>
            </w:pP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31,206</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(723,577)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(26,358)</w:t>
            </w:r>
          </w:p>
        </w:tc>
        <w:tc>
          <w:tcPr>
            <w:tcW w:w="0" w:type="dxa"/>
            <w:vAlign w:val="bottom"/>
          </w:tcPr>
          <w:p>
            <w:pPr>
              <w:spacing w:after="0"/>
              <w:rPr>
                <w:sz w:val="1"/>
                <w:szCs w:val="1"/>
                <w:color w:val="auto"/>
              </w:rPr>
            </w:pP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16,898</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96,115,816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(27,367)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489,343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106,869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571,604</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93,301,156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349,533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376,968</w:t>
            </w:r>
          </w:p>
        </w:tc>
        <w:tc>
          <w:tcPr>
            <w:tcW w:w="0" w:type="dxa"/>
            <w:vAlign w:val="bottom"/>
          </w:tcPr>
          <w:p>
            <w:pPr>
              <w:spacing w:after="0"/>
              <w:rPr>
                <w:sz w:val="1"/>
                <w:szCs w:val="1"/>
                <w:color w:val="auto"/>
              </w:rPr>
            </w:pPr>
          </w:p>
        </w:tc>
      </w:tr>
      <w:tr>
        <w:trPr>
          <w:trHeight w:val="16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1,018,059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30,947</w:t>
            </w:r>
          </w:p>
        </w:tc>
        <w:tc>
          <w:tcPr>
            <w:tcW w:w="0" w:type="dxa"/>
            <w:vAlign w:val="bottom"/>
          </w:tcPr>
          <w:p>
            <w:pPr>
              <w:spacing w:after="0"/>
              <w:rPr>
                <w:sz w:val="1"/>
                <w:szCs w:val="1"/>
                <w:color w:val="auto"/>
              </w:rPr>
            </w:pP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17,678</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94,319,215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379,065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45,612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424,401</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256"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22225</wp:posOffset>
            </wp:positionV>
            <wp:extent cx="1929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8"/>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16,898</w:t>
            </w:r>
          </w:p>
        </w:tc>
        <w:tc>
          <w:tcPr>
            <w:tcW w:w="80" w:type="dxa"/>
            <w:vAlign w:val="bottom"/>
          </w:tcPr>
          <w:p>
            <w:pPr>
              <w:spacing w:after="0"/>
              <w:rPr>
                <w:sz w:val="18"/>
                <w:szCs w:val="18"/>
                <w:color w:val="auto"/>
              </w:rPr>
            </w:pP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17,678</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8"/>
        </w:trPr>
        <w:tc>
          <w:tcPr>
            <w:tcW w:w="8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tax expense (benefit)</w:t>
            </w:r>
          </w:p>
        </w:tc>
        <w:tc>
          <w:tcPr>
            <w:tcW w:w="3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(1,347)</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8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Non-cash interest income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8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31,052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30,808</w:t>
            </w:r>
          </w:p>
        </w:tc>
      </w:tr>
      <w:tr>
        <w:trPr>
          <w:trHeight w:val="208"/>
        </w:trPr>
        <w:tc>
          <w:tcPr>
            <w:tcW w:w="8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Bad debt expense</w:t>
            </w:r>
          </w:p>
        </w:tc>
        <w:tc>
          <w:tcPr>
            <w:tcW w:w="3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5,244</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Realized gains on sale of marketable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w:t>
            </w:r>
          </w:p>
        </w:tc>
      </w:tr>
      <w:tr>
        <w:trPr>
          <w:trHeight w:val="208"/>
        </w:trPr>
        <w:tc>
          <w:tcPr>
            <w:tcW w:w="8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Foreign currency exchange rate loss</w:t>
            </w:r>
          </w:p>
        </w:tc>
        <w:tc>
          <w:tcPr>
            <w:tcW w:w="3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8"/>
        </w:trPr>
        <w:tc>
          <w:tcPr>
            <w:tcW w:w="82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(60,118)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(78,422)</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8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15,169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(1,456)</w:t>
            </w:r>
          </w:p>
        </w:tc>
      </w:tr>
      <w:tr>
        <w:trPr>
          <w:trHeight w:val="208"/>
        </w:trPr>
        <w:tc>
          <w:tcPr>
            <w:tcW w:w="82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36,445</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8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12,995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11,751</w:t>
            </w:r>
          </w:p>
        </w:tc>
      </w:tr>
      <w:tr>
        <w:trPr>
          <w:trHeight w:val="208"/>
        </w:trPr>
        <w:tc>
          <w:tcPr>
            <w:tcW w:w="82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 noncurrent assets and liabilities</w:t>
            </w:r>
          </w:p>
        </w:tc>
        <w:tc>
          <w:tcPr>
            <w:tcW w:w="3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w:t>
            </w:r>
          </w:p>
        </w:tc>
      </w:tr>
      <w:tr>
        <w:trPr>
          <w:trHeight w:val="22"/>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8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25,732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20,961</w:t>
            </w:r>
          </w:p>
        </w:tc>
      </w:tr>
      <w:tr>
        <w:trPr>
          <w:trHeight w:val="270"/>
        </w:trPr>
        <w:tc>
          <w:tcPr>
            <w:tcW w:w="8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8"/>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property and equipment,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(1,251)</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marketable securities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(110,806)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(23,435)</w:t>
            </w:r>
          </w:p>
        </w:tc>
      </w:tr>
      <w:tr>
        <w:trPr>
          <w:trHeight w:val="208"/>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 of marketable securities</w:t>
            </w:r>
          </w:p>
        </w:tc>
        <w:tc>
          <w:tcPr>
            <w:tcW w:w="3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131,000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40,813</w:t>
            </w:r>
          </w:p>
        </w:tc>
      </w:tr>
      <w:tr>
        <w:trPr>
          <w:trHeight w:val="22"/>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8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provided by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19,344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16,127</w:t>
            </w:r>
          </w:p>
        </w:tc>
      </w:tr>
      <w:tr>
        <w:trPr>
          <w:trHeight w:val="270"/>
        </w:trPr>
        <w:tc>
          <w:tcPr>
            <w:tcW w:w="8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8"/>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962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1,675</w:t>
            </w:r>
          </w:p>
        </w:tc>
      </w:tr>
      <w:tr>
        <w:trPr>
          <w:trHeight w:val="208"/>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Payment of employee taxes related to equity awards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(3,815)</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contributions to employee stock purchase plan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w:t>
            </w:r>
          </w:p>
        </w:tc>
      </w:tr>
      <w:tr>
        <w:trPr>
          <w:trHeight w:val="201"/>
        </w:trPr>
        <w:tc>
          <w:tcPr>
            <w:tcW w:w="82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(27,411)</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(1,846)</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in cash and cash equivalents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17,663</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35,242</w:t>
            </w: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97,296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120,078</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114,959</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155,320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8"/>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income taxes, net of refunds received</w:t>
            </w: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8"/>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
        </w:trPr>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 of property and equipment, net included in accounts payable and accrued expenses</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r>
      <w:tr>
        <w:trPr>
          <w:trHeight w:val="21"/>
        </w:trPr>
        <w:tc>
          <w:tcPr>
            <w:tcW w:w="8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client success teams, and end to end comprehensive concierge member support provided by Progyny’s in-house staff of Patient Care Advocates (“PCAs”) (collectively, the “care management services”).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enhanced its fertility benefits solution with the launch of Progyny Rx, its pharmacy benefits solution,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the Company's financial position as of March 31, 2024, the results of the Company's operations for the three months ended March 31, 2024 and 2023 and the results of the Company's cash flows for the three months ended March 31, 2024 and 2023. Therefore, these unaudited consolidated financial statements should be read in conjunction with the audited consolidated financial statements and related footnotes included in the Company’s Annual Report on Form 10-K for the fiscal year ended December 31, 2023, filed with the SEC on February 29, 2024 (the “Annual Report on Form 10-K”).</w:t>
      </w:r>
    </w:p>
    <w:p>
      <w:pPr>
        <w:spacing w:after="0" w:line="215"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The results for the three months ended March 31, 2024 are not necessarily indicative of the operating results expected for the year ending December 31, 2024 or any other future period. Additionally, the coronavirus (“COVID-19”) pandemic continues to evolve and due to the uncertainty of the pandemic, including variants, the Company's customers and members, provider network, specialty pharmacy partners, employees, suppliers, vendors, and other business partners may continue to be impacted in future periods. A resurgence of COVID-19 could have a material adverse effect on the Company’s business, financial condition, results of operations and growth prospects. The Company will continue to assess these potential impacts to its business and will make adjustments to its operations as necessary.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compared to the significant accounting policies described in Note 2 of the Company’s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benefits services provided. As a result, the fixed rate per Smart Cycle is included in the transaction price and recognized in the period in which the Smart Cycle is provided to the member.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March 31,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accrued receivables were $76.5 million and $45.8 million, respectively. Accrued receivables are included within accounts receivable in the consolidated balance sheet.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Accrued claims payable of $49.6 million and $30.3 million as of March 31, 2024 and December 31, 2023, respectively, are included within accrued expenses and other current liabilities in the consolidated balance sheet. Claims payable are generally paid within 30 days based on contractual terms.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unbilled receivables, which represent claims received and approved but unbilled at the end of the reporting period, were $64.9 million and $45.1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consolidated statements of operations. The following table provides a summary of the activity in this allowance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Costs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9"/>
              </w:rPr>
              <w:t>at End</w:t>
            </w:r>
          </w:p>
        </w:tc>
      </w:tr>
      <w:tr>
        <w:trPr>
          <w:trHeight w:val="2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80" w:type="dxa"/>
            <w:vAlign w:val="bottom"/>
          </w:tcPr>
          <w:p>
            <w:pPr>
              <w:spacing w:after="0"/>
              <w:rPr>
                <w:sz w:val="17"/>
                <w:szCs w:val="17"/>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50,054</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standard is intended to provide a better understanding of an entity's overall performance and business activities through improved disclosure about an entity's reportable segments, including more detailed information about reportable segment expenses. The new standard will be effective for the Company for the fiscal year beginning January 1, 2024 and for interim periods within the fiscal year beginning January 1, 2025. While the new standard requires additional footnote disclosure, the Company currently does not expect the adoption of the new standard to have a material effect on its consolidated financial statements.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standard is intended to enhance the transparency and decision usefulness of income tax disclosures primarily through changes to the rate reconciliation and income taxes paid information. The new standard will be effective for the Company for the fiscal year beginning January 1, 2025. While the new standard requires further disaggregation of the income tax footnote, the Company currently does not expect the adoption of the new standard to have a material effect on its consolidated financial statements.</w:t>
      </w:r>
    </w:p>
    <w:p>
      <w:pPr>
        <w:spacing w:after="0" w:line="17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p>
      <w:pPr>
        <w:spacing w:after="0" w:line="273"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22225</wp:posOffset>
            </wp:positionV>
            <wp:extent cx="30943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3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20" w:type="dxa"/>
            <w:vAlign w:val="bottom"/>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Fertility benefits services revenue</w:t>
            </w:r>
          </w:p>
        </w:tc>
        <w:tc>
          <w:tcPr>
            <w:tcW w:w="384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157,145</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Pharmacy benefits services revenue</w:t>
            </w:r>
          </w:p>
        </w:tc>
        <w:tc>
          <w:tcPr>
            <w:tcW w:w="23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108,309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101,249</w:t>
            </w:r>
          </w:p>
        </w:tc>
        <w:tc>
          <w:tcPr>
            <w:tcW w:w="0" w:type="dxa"/>
            <w:vAlign w:val="bottom"/>
          </w:tcPr>
          <w:p>
            <w:pPr>
              <w:spacing w:after="0"/>
              <w:rPr>
                <w:sz w:val="1"/>
                <w:szCs w:val="1"/>
                <w:color w:val="auto"/>
              </w:rPr>
            </w:pPr>
          </w:p>
        </w:tc>
      </w:tr>
      <w:tr>
        <w:trPr>
          <w:trHeight w:val="27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84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278,078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258,394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555"/>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0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6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of the asset or liability and supported by little or no market activity.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uses observable market data when available, and minimizes the use of unobservable inputs when determining fair value.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Company had $84.0 million and $35.2 million, respectively, in financial assets held in money market accounts and $256.9 million and $273.8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did not have any assets or liabilities classified as Level 2 or Level 3 in the fair value hierarchy.</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the Company’s sublease agreement for the 25,212 square foot office in its corporate headquarters commenced in New York, NY and is scheduled to expire in May 2029. Pursuant to the sublease, the Company is obligated to pay the base rent of approximately $1.3 million per annum through the end of the fifth lease year and approximately $1.4 million per annum thereafter through the expiration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2023, the Company's lease agreement for the additional 24,099 square foot office in its corporate offices commenced in New York, NY and is expected to expire in the fourth quarter of 2035. In accordance with ASC 842, the Company recorded right-of-use assets and lease liabilities of $12.2 million and $12.1 million, respectively. Pursuant to the lease, the Company is obligated to pay the base rent of approximately $1.4 million per annum beginning in April 2024 through the end of the fifth lease year and approximately $1.5 million per annum thereafter through the expiration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the three months ended March 31, 2024 and 2023 was $0.6 million and $0.4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outflows from operating activities attributable to the operating leases for each of the three months ended March 31, 2024 and 2023 was $0.3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0" w:type="dxa"/>
            <w:vAlign w:val="bottom"/>
          </w:tcPr>
          <w:p>
            <w:pPr>
              <w:spacing w:after="0"/>
              <w:rPr>
                <w:sz w:val="1"/>
                <w:szCs w:val="1"/>
                <w:color w:val="auto"/>
              </w:rPr>
            </w:pPr>
          </w:p>
        </w:tc>
      </w:tr>
      <w:tr>
        <w:trPr>
          <w:trHeight w:val="25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4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operating lease</w:t>
            </w:r>
          </w:p>
        </w:tc>
        <w:tc>
          <w:tcPr>
            <w:tcW w:w="180" w:type="dxa"/>
            <w:vAlign w:val="bottom"/>
          </w:tcPr>
          <w:p>
            <w:pPr>
              <w:spacing w:after="0"/>
              <w:rPr>
                <w:sz w:val="21"/>
                <w:szCs w:val="21"/>
                <w:color w:val="auto"/>
              </w:rPr>
            </w:pPr>
          </w:p>
        </w:tc>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9.4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years</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operating lease</w:t>
            </w:r>
          </w:p>
        </w:tc>
        <w:tc>
          <w:tcPr>
            <w:tcW w:w="4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facility lease payments related to the Company's operating lease liabilities as of March 31, 2024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 Payments as of March 31, 2024</w:t>
            </w:r>
          </w:p>
        </w:tc>
      </w:tr>
      <w:tr>
        <w:trPr>
          <w:trHeight w:val="23"/>
        </w:trPr>
        <w:tc>
          <w:tcPr>
            <w:tcW w:w="8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10,848</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32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23,948</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w:t>
            </w:r>
          </w:p>
        </w:tc>
      </w:tr>
      <w:tr>
        <w:trPr>
          <w:trHeight w:val="25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32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1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132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Lease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noted above, the Company commenced its lease for the 24,099 square foot office in its corporate offices in New York, NY in February 2023, pursuant to a lease agreement entered into by the Company in February 2022. The lease agreement also provides for additional space in the Company's corporate offices, including an additional 21,262 square foot office and continued occupancy of the 25,212 square foot office after the expiration of the current sublease. For the 21,262 square foot office, the lease commencement date, which is when the premises will become available to the Company for use, is currently expected to be in the fourth quarter of 2024. The Company is obligated to pay the base rent of approximately $1.3 million starting in the fourth quarter of 2025 for five years and approximately $1.4 million per year thereafter through the fourth quarter of 2035, the expected expiration date. For the current 25,212 square foot office, the Company is obligated to pay the base rent of approximately $1.6 million per year beginning in June 2029, which is the lease commencement, through the fourth quarter of 2035, the expected expiration date.</w:t>
      </w:r>
    </w:p>
    <w:p>
      <w:pPr>
        <w:spacing w:after="0" w:line="18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960" w:firstLine="8"/>
        <w:spacing w:after="0" w:line="503" w:lineRule="auto"/>
        <w:tabs>
          <w:tab w:leader="none" w:pos="648"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b w:val="1"/>
          <w:bCs w:val="1"/>
          <w:color w:val="auto"/>
        </w:rPr>
        <w:t>Stockholders’ Equity Share Repurchase Program</w:t>
      </w: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February 2024, the Company’s Board of Directors authorized a share repurchase program of up to $100 million in shares of common stock. Repurchases may be made in the form of open market repurchases, including through plans complying with Rule 10b5-1 under the Exchange Act, depending on stock price, market conditions, and other factors, as determined by the Company. There can be no assurance as to the number of shares to be repurchased by the Company.</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a total of 723,577 shares of common stock under the share repurchase program for a total cost of $26.4 million, inclusive of excise taxes and trading fees, or an average price per share of $36.27.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which was included in the statements of operations as follows (in thousands):</w:t>
      </w:r>
    </w:p>
    <w:p>
      <w:pPr>
        <w:spacing w:after="0" w:line="27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22225</wp:posOffset>
            </wp:positionV>
            <wp:extent cx="29229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w:t>
            </w: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r>
      <w:tr>
        <w:trPr>
          <w:trHeight w:val="25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8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80" w:type="dxa"/>
            <w:vAlign w:val="bottom"/>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31,052</w:t>
            </w:r>
          </w:p>
        </w:tc>
        <w:tc>
          <w:tcPr>
            <w:tcW w:w="8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6"/>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 on</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460" w:type="dxa"/>
            <w:vAlign w:val="bottom"/>
          </w:tcPr>
          <w:p>
            <w:pPr>
              <w:spacing w:after="0"/>
              <w:rPr>
                <w:sz w:val="11"/>
                <w:szCs w:val="11"/>
                <w:color w:val="auto"/>
              </w:rPr>
            </w:pPr>
          </w:p>
        </w:tc>
        <w:tc>
          <w:tcPr>
            <w:tcW w:w="11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marketable securities</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4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comprehensive income before reclassifications, net of tax</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6"/>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 on</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460" w:type="dxa"/>
            <w:vAlign w:val="bottom"/>
          </w:tcPr>
          <w:p>
            <w:pPr>
              <w:spacing w:after="0"/>
              <w:rPr>
                <w:sz w:val="11"/>
                <w:szCs w:val="11"/>
                <w:color w:val="auto"/>
              </w:rPr>
            </w:pPr>
          </w:p>
        </w:tc>
        <w:tc>
          <w:tcPr>
            <w:tcW w:w="11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marketable securities</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4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center"/>
              <w:ind w:left="1053"/>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comprehensive income before reclassifications, net of tax</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center"/>
              <w:ind w:left="993"/>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993"/>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left="107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center"/>
              <w:ind w:left="1053"/>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63" w:lineRule="exact"/>
        <w:rPr>
          <w:sz w:val="20"/>
          <w:szCs w:val="20"/>
          <w:color w:val="auto"/>
        </w:rPr>
      </w:pPr>
    </w:p>
    <w:p>
      <w:pPr>
        <w:ind w:right="400" w:firstLine="8"/>
        <w:spacing w:after="0" w:line="28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gains of $3.3 million, net of tax expense of $0.9 million, for the three months ended March 31, 2024 and unrealized gains of $0.7 million, net of tax expense of $0, for the three months ended March 31, 2023.</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net income of amounts reclassified from accumulated other comprehensive income were as follows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19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 Income</w:t>
            </w:r>
          </w:p>
        </w:tc>
        <w:tc>
          <w:tcPr>
            <w:tcW w:w="9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19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Affected Line Item in Statement of Operations</w:t>
            </w:r>
          </w:p>
        </w:tc>
      </w:tr>
      <w:tr>
        <w:trPr>
          <w:trHeight w:val="228"/>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marketable securities</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top w:val="single" w:sz="8" w:color="CCEEFF"/>
            </w:tcBorders>
            <w:shd w:val="clear" w:color="auto" w:fill="CCEEFF"/>
          </w:tcPr>
          <w:p>
            <w:pPr>
              <w:spacing w:after="0"/>
              <w:rPr>
                <w:sz w:val="19"/>
                <w:szCs w:val="19"/>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r>
      <w:tr>
        <w:trPr>
          <w:trHeight w:val="223"/>
        </w:trPr>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r>
      <w:tr>
        <w:trPr>
          <w:trHeight w:val="229"/>
        </w:trPr>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r>
      <w:tr>
        <w:trPr>
          <w:trHeight w:val="228"/>
        </w:trPr>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r>
    </w:tbl>
    <w:p>
      <w:pPr>
        <w:spacing w:after="0" w:line="28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three months ended March 31, 2024, the Company recorded a provision for income taxes of $5.6 million, primarily driven by the Company's operating profit, partially offset by equity</w:t>
      </w:r>
    </w:p>
    <w:p>
      <w:pPr>
        <w:spacing w:after="0" w:line="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activity that occurred during the period. During the three months ended March 31, 2023</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the Company recorded a benefit for income taxes of $1.3 million, primarily due to equity compensation activity that occurred during the period.</w:t>
      </w:r>
    </w:p>
    <w:p>
      <w:pPr>
        <w:spacing w:after="0" w:line="16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is calculated by dividing the net income by the weighted-average number of shares of common stock outstanding for the period.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 A reconciliation of net income and the number of shares in the calculation of basic and diluted net income per share is as follows (in thousands, except share and per share amounts):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22225</wp:posOffset>
            </wp:positionV>
            <wp:extent cx="29229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8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tcPr>
          <w:p>
            <w:pPr>
              <w:jc w:val="right"/>
              <w:ind w:right="111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0" w:type="dxa"/>
            <w:vAlign w:val="bottom"/>
          </w:tcPr>
          <w:p>
            <w:pPr>
              <w:spacing w:after="0"/>
              <w:rPr>
                <w:sz w:val="1"/>
                <w:szCs w:val="1"/>
                <w:color w:val="auto"/>
              </w:rPr>
            </w:pPr>
          </w:p>
        </w:tc>
      </w:tr>
      <w:tr>
        <w:trPr>
          <w:trHeight w:val="277"/>
        </w:trPr>
        <w:tc>
          <w:tcPr>
            <w:tcW w:w="64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1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96,484,657</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93,832,873</w:t>
            </w:r>
          </w:p>
        </w:tc>
        <w:tc>
          <w:tcPr>
            <w:tcW w:w="0" w:type="dxa"/>
            <w:vAlign w:val="bottom"/>
          </w:tcPr>
          <w:p>
            <w:pPr>
              <w:spacing w:after="0"/>
              <w:rPr>
                <w:sz w:val="1"/>
                <w:szCs w:val="1"/>
                <w:color w:val="auto"/>
              </w:rPr>
            </w:pPr>
          </w:p>
        </w:tc>
      </w:tr>
      <w:tr>
        <w:trPr>
          <w:trHeight w:val="257"/>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30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tcPr>
          <w:p>
            <w:pPr>
              <w:jc w:val="right"/>
              <w:ind w:right="111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0" w:type="dxa"/>
            <w:vAlign w:val="bottom"/>
          </w:tcPr>
          <w:p>
            <w:pPr>
              <w:spacing w:after="0"/>
              <w:rPr>
                <w:sz w:val="1"/>
                <w:szCs w:val="1"/>
                <w:color w:val="auto"/>
              </w:rPr>
            </w:pPr>
          </w:p>
        </w:tc>
      </w:tr>
      <w:tr>
        <w:trPr>
          <w:trHeight w:val="277"/>
        </w:trPr>
        <w:tc>
          <w:tcPr>
            <w:tcW w:w="64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1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96,484,657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93,832,873</w:t>
            </w:r>
          </w:p>
        </w:tc>
        <w:tc>
          <w:tcPr>
            <w:tcW w:w="0" w:type="dxa"/>
            <w:vAlign w:val="bottom"/>
          </w:tcPr>
          <w:p>
            <w:pPr>
              <w:spacing w:after="0"/>
              <w:rPr>
                <w:sz w:val="1"/>
                <w:szCs w:val="1"/>
                <w:color w:val="auto"/>
              </w:rPr>
            </w:pPr>
          </w:p>
        </w:tc>
      </w:tr>
      <w:tr>
        <w:trPr>
          <w:trHeight w:val="250"/>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3,922,757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5,592,045</w:t>
            </w:r>
          </w:p>
        </w:tc>
        <w:tc>
          <w:tcPr>
            <w:tcW w:w="0" w:type="dxa"/>
            <w:vAlign w:val="bottom"/>
          </w:tcPr>
          <w:p>
            <w:pPr>
              <w:spacing w:after="0"/>
              <w:rPr>
                <w:sz w:val="1"/>
                <w:szCs w:val="1"/>
                <w:color w:val="auto"/>
              </w:rPr>
            </w:pPr>
          </w:p>
        </w:tc>
      </w:tr>
      <w:tr>
        <w:trPr>
          <w:trHeight w:val="250"/>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1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63"/>
        </w:trPr>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291,643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535,807</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1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353,067</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204,724</w:t>
            </w: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effect of dilutive securities</w:t>
            </w:r>
          </w:p>
        </w:tc>
        <w:tc>
          <w:tcPr>
            <w:tcW w:w="1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4,568,276</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6,333,135</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in computing diluted net income per share</w:t>
            </w:r>
          </w:p>
        </w:tc>
        <w:tc>
          <w:tcPr>
            <w:tcW w:w="1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101,052,933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100,166,008</w:t>
            </w:r>
          </w:p>
        </w:tc>
        <w:tc>
          <w:tcPr>
            <w:tcW w:w="0" w:type="dxa"/>
            <w:vAlign w:val="bottom"/>
          </w:tcPr>
          <w:p>
            <w:pPr>
              <w:spacing w:after="0"/>
              <w:rPr>
                <w:sz w:val="1"/>
                <w:szCs w:val="1"/>
                <w:color w:val="auto"/>
              </w:rPr>
            </w:pPr>
          </w:p>
        </w:tc>
      </w:tr>
      <w:tr>
        <w:trPr>
          <w:trHeight w:val="282"/>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300" w:type="dxa"/>
            <w:vAlign w:val="bottom"/>
            <w:tcBorders>
              <w:bottom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income per share for the period presented because including them would have been antidilutive:</w:t>
      </w:r>
    </w:p>
    <w:p>
      <w:pPr>
        <w:spacing w:after="0" w:line="209"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22225</wp:posOffset>
            </wp:positionV>
            <wp:extent cx="29400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12,631,505</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11,897,587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814,281</w:t>
            </w:r>
          </w:p>
        </w:tc>
        <w:tc>
          <w:tcPr>
            <w:tcW w:w="100" w:type="dxa"/>
            <w:vAlign w:val="bottom"/>
            <w:tcBorders>
              <w:bottom w:val="single" w:sz="8" w:color="CCEEFF"/>
            </w:tcBorders>
          </w:tcPr>
          <w:p>
            <w:pPr>
              <w:spacing w:after="0"/>
              <w:rPr>
                <w:sz w:val="21"/>
                <w:szCs w:val="21"/>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1,603,800</w:t>
            </w:r>
          </w:p>
        </w:tc>
        <w:tc>
          <w:tcPr>
            <w:tcW w:w="0" w:type="dxa"/>
            <w:vAlign w:val="bottom"/>
          </w:tcPr>
          <w:p>
            <w:pPr>
              <w:spacing w:after="0"/>
              <w:rPr>
                <w:sz w:val="1"/>
                <w:szCs w:val="1"/>
                <w:color w:val="auto"/>
              </w:rPr>
            </w:pPr>
          </w:p>
        </w:tc>
      </w:tr>
      <w:tr>
        <w:trPr>
          <w:trHeight w:val="276"/>
        </w:trPr>
        <w:tc>
          <w:tcPr>
            <w:tcW w:w="7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13,445,786</w:t>
            </w:r>
          </w:p>
        </w:tc>
        <w:tc>
          <w:tcPr>
            <w:tcW w:w="100" w:type="dxa"/>
            <w:vAlign w:val="bottom"/>
            <w:shd w:val="clear" w:color="auto" w:fill="CCEEFF"/>
          </w:tcPr>
          <w:p>
            <w:pPr>
              <w:spacing w:after="0"/>
              <w:rPr>
                <w:sz w:val="24"/>
                <w:szCs w:val="24"/>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13,501,387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jc w:val="right"/>
              <w:ind w:right="794"/>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66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6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2023, filed with the SEC on February 29, 2024.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of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in a world where everyone can realize dreams of family and ideal health. Our mission is to empower healthier, supported journeys through transformative fertility, family building and women's health benefits. Through our differentiated approach to benefits plan design, patient education and support and active network management, our clients’ employees are able to pursue the most effective treatment across life's milestones from the best physicians and achieve optimal outcomes.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450 with at least 1,000 covered lives. We currently provide coverage to approximately 6.4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industry-leading Net Promoter Score, or NPS, of +80 for our fertility benefits solution and +80 for our integrated pharmacy benefits solution, Progyny Rx as of December 31, 2023. Our members experience healthier pregnancies and superior rates of pregnancy and live births, as well as reduced rates of miscarriages and multiple births, saving valuable time and money and limiting personal and professional disruption.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Clinic</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Clinic</w:t>
            </w: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National Averages for All</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Averages</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Provider Clinics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All Patients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Progyny Members Only</w:t>
            </w:r>
            <w:r>
              <w:rPr>
                <w:rFonts w:ascii="Times New Roman" w:cs="Times New Roman" w:eastAsia="Times New Roman" w:hAnsi="Times New Roman"/>
                <w:sz w:val="7"/>
                <w:szCs w:val="7"/>
                <w:b w:val="1"/>
                <w:bCs w:val="1"/>
                <w:color w:val="auto"/>
              </w:rPr>
              <w:t>(3)</w:t>
            </w: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0"/>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birth rate per attempted retrieval</w:t>
            </w:r>
            <w:r>
              <w:rPr>
                <w:rFonts w:ascii="Times New Roman" w:cs="Times New Roman" w:eastAsia="Times New Roman" w:hAnsi="Times New Roman"/>
                <w:sz w:val="8"/>
                <w:szCs w:val="8"/>
                <w:color w:val="auto"/>
              </w:rPr>
              <w:t>(2)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50"/>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 embryo transfer rate</w:t>
            </w:r>
            <w:r>
              <w:rPr>
                <w:rFonts w:ascii="Times New Roman" w:cs="Times New Roman" w:eastAsia="Times New Roman" w:hAnsi="Times New Roman"/>
                <w:sz w:val="8"/>
                <w:szCs w:val="8"/>
                <w:color w:val="auto"/>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93.9 %</w:t>
            </w:r>
          </w:p>
        </w:tc>
      </w:tr>
      <w:tr>
        <w:trPr>
          <w:trHeight w:val="26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Pregnancy rate per IVF transfer</w:t>
            </w:r>
            <w:r>
              <w:rPr>
                <w:rFonts w:ascii="Times New Roman" w:cs="Times New Roman" w:eastAsia="Times New Roman" w:hAnsi="Times New Roman"/>
                <w:sz w:val="8"/>
                <w:szCs w:val="8"/>
                <w:color w:val="auto"/>
              </w:rPr>
              <w:t>(1)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62.8 %</w:t>
            </w:r>
          </w:p>
        </w:tc>
      </w:tr>
      <w:tr>
        <w:trPr>
          <w:trHeight w:val="250"/>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Miscarriage rate</w:t>
            </w:r>
            <w:r>
              <w:rPr>
                <w:rFonts w:ascii="Times New Roman" w:cs="Times New Roman" w:eastAsia="Times New Roman" w:hAnsi="Times New Roman"/>
                <w:sz w:val="8"/>
                <w:szCs w:val="8"/>
                <w:color w:val="auto"/>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6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birth rate per transfer</w:t>
            </w:r>
            <w:r>
              <w:rPr>
                <w:rFonts w:ascii="Times New Roman" w:cs="Times New Roman" w:eastAsia="Times New Roman" w:hAnsi="Times New Roman"/>
                <w:sz w:val="8"/>
                <w:szCs w:val="8"/>
                <w:color w:val="auto"/>
              </w:rPr>
              <w:t>(2)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r>
      <w:tr>
        <w:trPr>
          <w:trHeight w:val="24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IVF multiples rate</w:t>
            </w:r>
            <w:r>
              <w:rPr>
                <w:rFonts w:ascii="Times New Roman" w:cs="Times New Roman" w:eastAsia="Times New Roman" w:hAnsi="Times New Roman"/>
                <w:sz w:val="8"/>
                <w:szCs w:val="8"/>
                <w:color w:val="auto"/>
              </w:rPr>
              <w:t>(2)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3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36"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Society for Assisted Reproductive Technology, or SART, 2020 National Summary Report, finalized in 2023.</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CDC, 2021 National Summary and Clinic Data Sets, published in 2023.</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12-month period ended December 31, 2022.</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fertility benefits solution includes providing members with access to effective and cost-efficient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vitro fertilization, or IVF, preimplantation genetic testing).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PCAs can choose their preferred provider clinics within our network and utilize the specific Smart Cycle treatment bundles necessary for the treatment pathway they determine throughout their fertility journey.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Pharmacy Benefits Solution. </w:t>
      </w:r>
      <w:r>
        <w:rPr>
          <w:rFonts w:ascii="Times New Roman" w:cs="Times New Roman" w:eastAsia="Times New Roman" w:hAnsi="Times New Roman"/>
          <w:sz w:val="18"/>
          <w:szCs w:val="18"/>
          <w:color w:val="auto"/>
        </w:rPr>
        <w:t>We went live with our integrated pharmacy benefits solution in 2018. Progyny Rx can only be purchased by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Clients. </w:t>
      </w:r>
      <w:r>
        <w:rPr>
          <w:rFonts w:ascii="Times New Roman" w:cs="Times New Roman" w:eastAsia="Times New Roman" w:hAnsi="Times New Roman"/>
          <w:sz w:val="18"/>
          <w:szCs w:val="18"/>
          <w:color w:val="auto"/>
        </w:rPr>
        <w:t>We currently serve over 450 employers with at least 1,000 covered lives in the United States across more than 40 industries.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clients, who are industry leaders across both high-growth and mature industries and who range in size from approximately 1,000 to 600,000 employees, represent approximately 6.4 million covered lives.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58" w:lineRule="exact"/>
        <w:rPr>
          <w:sz w:val="20"/>
          <w:szCs w:val="20"/>
          <w:color w:val="auto"/>
        </w:rPr>
      </w:pPr>
    </w:p>
    <w:p>
      <w:pPr>
        <w:jc w:val="both"/>
        <w:ind w:left="660" w:hanging="328"/>
        <w:spacing w:after="0" w:line="25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 employees. With respect to the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 per employee per month fee, or PEPM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 which is population-based. This allows us to provide access to our PCAs for fertility and family building education and guidance and other digital tools to all of our members, regardless of whether they ultimately pursue fertility treatment. PEPM fees represented 2% and 1% of our total revenue for the three months ended March 31, 2024 and 2023, respectively.</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96"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8"/>
          <w:szCs w:val="18"/>
          <w:color w:val="auto"/>
        </w:rPr>
        <w:t>Similarly, for existing clients, any changes in plan designs are typically elected by the end of October so that clients can inform their employees of the benefits during the open enrollment period ahead of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plan year start.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as well as labor populations under the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Relations Act of 1947 (also known as the Taft-Hartley Act) and federal government populations. There are approximately 8,000 employers in the United States who have a minimum of 1,000 employees, who together with Taft-Hartley labor populations and federal government populations, represent approximately 106 million potential covered lives in total. Our current member base of approximately 6.4 million covered lives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March 31, 2024 and December 31, 2023, we served 451 and 392 clients, respectively, representing 6,381,000 and 5,418,000 members, respectively.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74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gridSpan w:val="2"/>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gridSpan w:val="2"/>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Client Tier (Members)</w:t>
            </w: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gridSpan w:val="2"/>
            <w:vMerge w:val="continue"/>
          </w:tcPr>
          <w:p>
            <w:pPr>
              <w:spacing w:after="0"/>
              <w:rPr>
                <w:sz w:val="16"/>
                <w:szCs w:val="16"/>
                <w:color w:val="auto"/>
              </w:rPr>
            </w:pPr>
          </w:p>
        </w:tc>
        <w:tc>
          <w:tcPr>
            <w:tcW w:w="11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Clients</w:t>
            </w: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Clients</w:t>
            </w: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229"/>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2,500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2,501 - 10,000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934,000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10,001 - 50,000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1,588,000</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50,000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3,174,000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2,679,000</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5,418,000</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Benefits Utilization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key driver of our revenue is the number of members we serve and the rate at which they utilize their fertility benefits.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 base has grown, our membership has grown from approximately 110,000 members in 2016 when we launched our fertility benefits solution to approximately 6.4 million members as of March 31, 2024.</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number of assisted reproductive treatment, or ART, cycles performed for Progyny members and the member utilization rates for each of the periods presented:</w:t>
      </w:r>
    </w:p>
    <w:p>
      <w:pPr>
        <w:spacing w:after="0" w:line="20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33655</wp:posOffset>
            </wp:positionV>
            <wp:extent cx="30943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gridSpan w:val="2"/>
          </w:tcPr>
          <w:p>
            <w:pPr>
              <w:ind w:left="7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0"/>
        </w:trPr>
        <w:tc>
          <w:tcPr>
            <w:tcW w:w="778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Assisted Reproductive Treatment (ART) Cycles</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80" w:type="dxa"/>
            <w:vAlign w:val="bottom"/>
            <w:shd w:val="clear" w:color="auto" w:fill="CCEEFF"/>
          </w:tcPr>
          <w:p>
            <w:pPr>
              <w:spacing w:after="0"/>
              <w:rPr>
                <w:sz w:val="21"/>
                <w:szCs w:val="21"/>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w:t>
            </w:r>
          </w:p>
        </w:tc>
      </w:tr>
      <w:tr>
        <w:trPr>
          <w:trHeight w:val="257"/>
        </w:trPr>
        <w:tc>
          <w:tcPr>
            <w:tcW w:w="77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All Members</w:t>
            </w:r>
            <w:r>
              <w:rPr>
                <w:rFonts w:ascii="Times New Roman" w:cs="Times New Roman" w:eastAsia="Times New Roman" w:hAnsi="Times New Roman"/>
                <w:sz w:val="23"/>
                <w:szCs w:val="23"/>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57"/>
        </w:trPr>
        <w:tc>
          <w:tcPr>
            <w:tcW w:w="778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Female Only</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shd w:val="clear" w:color="auto" w:fill="CCEEFF"/>
          </w:tcPr>
          <w:p>
            <w:pPr>
              <w:spacing w:after="0"/>
              <w:rPr>
                <w:sz w:val="22"/>
                <w:szCs w:val="22"/>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312"/>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Average Members </w:t>
            </w:r>
            <w:r>
              <w:rPr>
                <w:rFonts w:ascii="Times New Roman" w:cs="Times New Roman" w:eastAsia="Times New Roman" w:hAnsi="Times New Roman"/>
                <w:sz w:val="23"/>
                <w:szCs w:val="23"/>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6,350,000</w:t>
            </w:r>
          </w:p>
        </w:tc>
        <w:tc>
          <w:tcPr>
            <w:tcW w:w="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5,335,000</w:t>
            </w: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63" w:lineRule="exact"/>
        <w:rPr>
          <w:sz w:val="20"/>
          <w:szCs w:val="20"/>
          <w:color w:val="auto"/>
        </w:rPr>
      </w:pPr>
    </w:p>
    <w:p>
      <w:pPr>
        <w:ind w:left="340" w:right="260" w:hanging="332"/>
        <w:spacing w:after="0" w:line="282"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w:t>
      </w:r>
    </w:p>
    <w:p>
      <w:pPr>
        <w:spacing w:after="0" w:line="161" w:lineRule="exact"/>
        <w:rPr>
          <w:rFonts w:ascii="Times New Roman" w:cs="Times New Roman" w:eastAsia="Times New Roman" w:hAnsi="Times New Roman"/>
          <w:sz w:val="18"/>
          <w:szCs w:val="18"/>
          <w:color w:val="auto"/>
        </w:rPr>
      </w:pPr>
    </w:p>
    <w:p>
      <w:pPr>
        <w:ind w:left="340" w:right="180" w:hanging="332"/>
        <w:spacing w:after="0" w:line="258"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300,000 members from a single client who are not reflected in utilization as a result of the client's chosen benefit design</w:t>
      </w:r>
      <w:r>
        <w:rPr>
          <w:rFonts w:ascii="Arial" w:cs="Arial" w:eastAsia="Arial" w:hAnsi="Arial"/>
          <w:sz w:val="14"/>
          <w:szCs w:val="14"/>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COVID-19 pandemic significantly impacted various markets around the world, including the United States. Restrictions related to COVID-19, including variants, and our responses to them significantly impacted and may continue to impact how our members use our services, access our providers, and how our employees work and provide services to our clients and members, resulting in an impact on our revenue. To the extent that the markets we serve experience increased cases of COVID-19, including variants, state or local governments may reinstitute measures to control its spread, which could again negatively impact our members’ access to care, which could in turn impact our business. We will continue to evaluate the nature and extent of these potential impacts to our business, results of operations and liquidity.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various risks posed by the COVID-19 pandemic, please refer to Part II, Item 1A. "Risk Factors" included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(or rebates),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services has three primary components: (1) fertility benefits services; (2) pharmacy benefits services; and (3) vendor rebates.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general and administrative expenses on an ongoing basis to support the growth of our business.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primarily includes interest income and expense as well as investment income and losses.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the net deferred tax assets are realizable.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273"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22225</wp:posOffset>
            </wp:positionV>
            <wp:extent cx="29317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60" w:type="dxa"/>
            <w:vAlign w:val="bottom"/>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120" w:type="dxa"/>
            <w:vAlign w:val="bottom"/>
            <w:gridSpan w:val="3"/>
            <w:shd w:val="clear" w:color="auto" w:fill="CCEEFF"/>
          </w:tcPr>
          <w:p>
            <w:pPr>
              <w:jc w:val="right"/>
              <w:ind w:right="1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278,078</w:t>
            </w:r>
          </w:p>
        </w:tc>
        <w:tc>
          <w:tcPr>
            <w:tcW w:w="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258,394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16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215,672</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199,754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shd w:val="clear" w:color="auto" w:fill="CCEEFF"/>
              </w:rPr>
              <w:t>Sales and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3160" w:type="dxa"/>
            <w:vAlign w:val="bottom"/>
            <w:vMerge w:val="restart"/>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3160" w:type="dxa"/>
            <w:vAlign w:val="bottom"/>
            <w:tcBorders>
              <w:bottom w:val="single" w:sz="8" w:color="CCEEFF"/>
            </w:tcBorders>
            <w:vMerge w:val="continue"/>
            <w:shd w:val="clear" w:color="auto" w:fill="CCEEFF"/>
          </w:tcPr>
          <w:p>
            <w:pPr>
              <w:spacing w:after="0"/>
              <w:rPr>
                <w:sz w:val="7"/>
                <w:szCs w:val="7"/>
                <w:color w:val="auto"/>
              </w:rPr>
            </w:pPr>
          </w:p>
        </w:tc>
        <w:tc>
          <w:tcPr>
            <w:tcW w:w="16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tcPr>
          <w:p>
            <w:pPr>
              <w:spacing w:after="0"/>
              <w:rPr>
                <w:sz w:val="22"/>
                <w:szCs w:val="22"/>
                <w:color w:val="auto"/>
              </w:rPr>
            </w:pPr>
          </w:p>
        </w:tc>
        <w:tc>
          <w:tcPr>
            <w:tcW w:w="4760" w:type="dxa"/>
            <w:vAlign w:val="bottom"/>
            <w:tcBorders>
              <w:bottom w:val="single" w:sz="8" w:color="CCEEFF"/>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6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28,429</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47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43,883</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57"/>
        </w:trPr>
        <w:tc>
          <w:tcPr>
            <w:tcW w:w="4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12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40" w:type="dxa"/>
            <w:vAlign w:val="bottom"/>
          </w:tcPr>
          <w:p>
            <w:pPr>
              <w:spacing w:after="0"/>
              <w:rPr>
                <w:sz w:val="22"/>
                <w:szCs w:val="22"/>
                <w:color w:val="auto"/>
              </w:rPr>
            </w:pPr>
          </w:p>
        </w:tc>
        <w:tc>
          <w:tcPr>
            <w:tcW w:w="8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940" w:type="dxa"/>
            <w:vAlign w:val="bottom"/>
            <w:gridSpan w:val="4"/>
            <w:vMerge w:val="continue"/>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60" w:type="dxa"/>
            <w:vAlign w:val="bottom"/>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CCEEFF"/>
            </w:tcBorders>
            <w:gridSpan w:val="3"/>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12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94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12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31,052</w:t>
            </w:r>
          </w:p>
        </w:tc>
        <w:tc>
          <w:tcPr>
            <w:tcW w:w="40" w:type="dxa"/>
            <w:vAlign w:val="bottom"/>
          </w:tcPr>
          <w:p>
            <w:pPr>
              <w:spacing w:after="0"/>
              <w:rPr>
                <w:sz w:val="24"/>
                <w:szCs w:val="24"/>
                <w:color w:val="auto"/>
              </w:rPr>
            </w:pPr>
          </w:p>
        </w:tc>
        <w:tc>
          <w:tcPr>
            <w:tcW w:w="8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6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22225</wp:posOffset>
            </wp:positionV>
            <wp:extent cx="3042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gridSpan w:val="2"/>
          </w:tcPr>
          <w:p>
            <w:pPr>
              <w:ind w:left="7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 as a percentage of revenue:</w:t>
            </w:r>
          </w:p>
        </w:tc>
        <w:tc>
          <w:tcPr>
            <w:tcW w:w="1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r>
      <w:tr>
        <w:trPr>
          <w:trHeight w:val="26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77.6 %</w:t>
            </w:r>
          </w:p>
        </w:tc>
        <w:tc>
          <w:tcPr>
            <w:tcW w:w="100" w:type="dxa"/>
            <w:vAlign w:val="bottom"/>
            <w:tcBorders>
              <w:bottom w:val="single" w:sz="8" w:color="CCEEFF"/>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77.3 %</w:t>
            </w:r>
          </w:p>
        </w:tc>
      </w:tr>
      <w:tr>
        <w:trPr>
          <w:trHeight w:val="257"/>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5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63"/>
        </w:trPr>
        <w:tc>
          <w:tcPr>
            <w:tcW w:w="7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50"/>
        </w:trPr>
        <w:tc>
          <w:tcPr>
            <w:tcW w:w="6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Borders>
              <w:bottom w:val="single" w:sz="8" w:color="CCEEFF"/>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5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5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5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5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5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5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5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1"/>
        </w:trPr>
        <w:tc>
          <w:tcPr>
            <w:tcW w:w="64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percentages shown in the table may not foot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other income, net and interest income,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depreciation and amortization, stock-based compensation expense, other income, net, interest income, net, and provision (benefit) for income taxes. The following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table presents a reconciliation of Adjusted EBITDA to net income, the most directly comparable financial measure stated in accordance with U.S. GAAP, for each of the periods indicated:</w:t>
      </w:r>
    </w:p>
    <w:p>
      <w:pPr>
        <w:spacing w:after="0" w:line="20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22225</wp:posOffset>
            </wp:positionV>
            <wp:extent cx="2922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60" w:type="dxa"/>
            <w:vAlign w:val="bottom"/>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7"/>
        </w:trPr>
        <w:tc>
          <w:tcPr>
            <w:tcW w:w="6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9"/>
                <w:szCs w:val="19"/>
                <w:color w:val="auto"/>
              </w:rPr>
            </w:pPr>
          </w:p>
        </w:tc>
      </w:tr>
      <w:tr>
        <w:trPr>
          <w:trHeight w:val="23"/>
        </w:trPr>
        <w:tc>
          <w:tcPr>
            <w:tcW w:w="6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w:t>
            </w: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57"/>
        </w:trPr>
        <w:tc>
          <w:tcPr>
            <w:tcW w:w="66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1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31,052</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30,808</w:t>
            </w:r>
          </w:p>
        </w:tc>
      </w:tr>
      <w:tr>
        <w:trPr>
          <w:trHeight w:val="257"/>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5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57"/>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8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5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80" w:type="dxa"/>
            <w:vAlign w:val="bottom"/>
            <w:tcBorders>
              <w:bottom w:val="single" w:sz="8" w:color="auto"/>
            </w:tcBorders>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80" w:type="dxa"/>
            <w:vAlign w:val="bottom"/>
          </w:tcPr>
          <w:p>
            <w:pPr>
              <w:spacing w:after="0"/>
              <w:rPr>
                <w:sz w:val="22"/>
                <w:szCs w:val="22"/>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46,360</w:t>
            </w:r>
          </w:p>
        </w:tc>
      </w:tr>
      <w:tr>
        <w:trPr>
          <w:trHeight w:val="21"/>
        </w:trPr>
        <w:tc>
          <w:tcPr>
            <w:tcW w:w="6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00" w:type="dxa"/>
            <w:vAlign w:val="bottom"/>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$278,078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$258,394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increased by $19.7 million, or 8%, for the three months ended March 31, 2024 compared to the three months ended March 31, 2023. This increase is primarily due to a $12.6 million, or 8%, increase in revenue from our fertility benefits solution and a $7.1 million, or 7%, increase in revenue from our Progyny Rx solution. The increases in revenue from our fertility benefits solution and our Progyny Rx solution were primarily due to the increase in the number of clients and covered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00" w:type="dxa"/>
            <w:vAlign w:val="bottom"/>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$215,672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by $15.9 million, or 8%, for the three months ended March 31, 2024 compared to the three months ended March 31, 2023, primarily due to an increase in medical treatment and pharmacy prescription costs associated with fertility treatment delivered. This increase in cost of services was also attributable to an increase in personnel-related costs primarily due to incremental headcount as well as a $0.8 million increase in stock-based compensation expense.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8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$62,406</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$58,640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increased by $3.8 million, or 6%, for the three months ended March 31, 2024 compared to the three months ended March 31, 2023.</w:t>
      </w:r>
    </w:p>
    <w:p>
      <w:pPr>
        <w:spacing w:after="0" w:line="225"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Gross margin decreased 30 basis points for the three months ended March 31, 2024 compared to the three months ended March 31, 2023, primarily due to an increase in personnel-related costs, largely offset by the ongoing efficiencies realized in the delivery of our care management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00" w:type="dxa"/>
            <w:vAlign w:val="bottom"/>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$15,454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$1.2 million, or 8%, for the three months ended March 31, 2024 compared to the three months ended March 31, 2023. This increase was primarily due to a $1.0 million increase in personnel-related costs attributable to an increase in stock-based compensation expense, as well as a $0.2 million increase in other related sales and marketing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2000" w:type="dxa"/>
            <w:vAlign w:val="bottom"/>
            <w:gridSpan w:val="3"/>
          </w:tcPr>
          <w:p>
            <w:pPr>
              <w:jc w:val="center"/>
              <w:ind w:left="9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60" w:type="dxa"/>
            <w:vAlign w:val="bottom"/>
          </w:tcPr>
          <w:p>
            <w:pPr>
              <w:spacing w:after="0"/>
              <w:rPr>
                <w:sz w:val="23"/>
                <w:szCs w:val="23"/>
                <w:color w:val="auto"/>
              </w:rPr>
            </w:pPr>
          </w:p>
        </w:tc>
        <w:tc>
          <w:tcPr>
            <w:tcW w:w="3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$28,429</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$29,347</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$0.9 million, or 3%, for the three months ended March 31, 2024 compared to the three months ended March 31, 2023. This decrease was primarily due to a $0.5 million decrease in bad debt expense, as well as a $0.4 million decrease in other related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80" w:type="dxa"/>
            <w:vAlign w:val="bottom"/>
            <w:gridSpan w:val="2"/>
            <w:shd w:val="clear" w:color="auto" w:fill="CCEEFF"/>
          </w:tcPr>
          <w:p>
            <w:pPr>
              <w:jc w:val="right"/>
              <w:ind w:right="5988"/>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$3,992</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by $2.7 million for the three months ended March 31, 2024 compared to the three months ended March 31, 2023, primarily due to an increase in investment income.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300" w:type="dxa"/>
            <w:vAlign w:val="bottom"/>
            <w:gridSpan w:val="4"/>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14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60" w:type="dxa"/>
            <w:vAlign w:val="bottom"/>
          </w:tcPr>
          <w:p>
            <w:pPr>
              <w:spacing w:after="0"/>
              <w:rPr>
                <w:sz w:val="23"/>
                <w:szCs w:val="23"/>
                <w:color w:val="auto"/>
              </w:rPr>
            </w:pPr>
          </w:p>
        </w:tc>
        <w:tc>
          <w:tcPr>
            <w:tcW w:w="2300" w:type="dxa"/>
            <w:vAlign w:val="bottom"/>
            <w:gridSpan w:val="4"/>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60" w:type="dxa"/>
            <w:vAlign w:val="bottom"/>
            <w:gridSpan w:val="2"/>
            <w:shd w:val="clear" w:color="auto" w:fill="CCEEFF"/>
          </w:tcPr>
          <w:p>
            <w:pPr>
              <w:jc w:val="right"/>
              <w:ind w:right="4668"/>
              <w:spacing w:after="0"/>
              <w:rPr>
                <w:sz w:val="20"/>
                <w:szCs w:val="20"/>
                <w:color w:val="auto"/>
              </w:rPr>
            </w:pPr>
            <w:r>
              <w:rPr>
                <w:rFonts w:ascii="Times New Roman" w:cs="Times New Roman" w:eastAsia="Times New Roman" w:hAnsi="Times New Roman"/>
                <w:sz w:val="18"/>
                <w:szCs w:val="18"/>
                <w:color w:val="auto"/>
                <w:w w:val="99"/>
              </w:rPr>
              <w:t>Provision (benefit) for income taxes</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$5,617</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recorded a provision for income taxes of $5.6 million, as compared to a benefit for income taxes of $1.3 million for the three months ended March 31, 2023, primarily due to higher operating profit as well as a decrease in tax benefits for equity compensation, including discrete tax benefits, in the current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As of March 31, 2024, we had $115.0 million of cash and cash equivalents and $256.9 million of marketable securities. Since inception, we have financed our operations primarily through sales of our solutions and the net proceeds we have received from sales of equity securities, including our initial public offering.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believe that our existing cash and cash equivalents, including the proceeds from our marketable securities, and cash flow from operations will be sufficient to support our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expansion of our sales and marketing activities, and the continued market adoption of our solutions.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the prior impact on our revenue growth and the related cash flows resulting from the various restrictions on activities due to the COVID-19 pandemic, as of March 31, 2024, our sources and uses of cash were not otherwise significantly impacted by the COVID-19 pandemic and, to date based on the information currently available to us, we have not identified and do not expect any material liquidity deficiencies as a result of the COVID-19 pandemic. For additional information on the various risks posed by the COVID-19 pandemic, please refer to Part II, Item 1A. "Risk Factors" included in this Quarterly Report on Form 10-Q.</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operations for the periods presented: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7"/>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3"/>
                <w:szCs w:val="23"/>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$25.7 million for the three months ended March 31, 2024, primarily consisting of net income of $16.9 million adjusted for certain items, which include $31.1 million of stock-based compensation expense, $4.8 million of bad debt expense, $3.4 million of realized gains on the sale of marketable securities, $2.9 million of deferred tax expense, $0.7 million of depreciation and amortization, and $0.2 million of non-cash interest income. Changes in operating assets and liabilities resulted in cash used in operating activities from increases in accounts receivable of $60.1 million, partially offset by cash provided by operating activities from increases in accrued expenses and other current liabilities of $13.0 million, accounts payable of $4.8 million, and other noncurrent assets and liabilities of $0.1 million and decreases in prepaid expenses and other current assets of $15.2 million. These changes were a result of the impact of revenue growth and our operating results as well as the timing of cash collections and payments to third parties.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$21.0 million for the three months ended March 31, 2023, primarily consisting of net income of $17.7 million adjusted for certain items, which include $30.8 million of stock-based compensation expense, $5.2 million of bad debt expense, $1.3 million of deferred tax benefit, $0.5 million of depreciation and amortization, and $0.5 million of realized gains on the sale of marketable securities. Changes in operating assets and liabilities resulted in cash used in operating activities from increases in accounts receivable of $78.4 million and prepaid expenses and other current assets of $1.5 million, partially offset by cash provided by operating activities from increases in accounts payable of $36.4 million, accrued expenses and other current liabilities of $11.8 million, and other noncurrent assets and liabilities of $0.2 million. These changes were a result of the impact of revenue growth and our operating results as well as the timing of cash collections and payments to third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$19.3 million and $16.1 million for the three months ended March 31, 2024 and 2023, respectively, which primarily consisted of net proceeds from marketable securities of $20.2 million and $17.4 million, respectively. The remainder of the activity for each of the three months ended March 31, 2024 and March 31, 2023 consisted of purchases of computers, software, including capitalized software development costs, and leasehold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$27.4 million for the three months ended March 31, 2024, consisting of repurchases of $23.8 million of common stock under the share repurchase program and payments of $5.0 million for employee taxes related to equity awards, partially offset by $1.0 million in proceeds from stock option exercises and $0.4 million in proceeds from contributions to our employee stock purchase plan.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$1.8 million for the three months ended March 31, 2023, consisting of payments of $3.8 million for employee taxes related to equity awards, partially offset by $1.7 million in proceeds from stock option exercises and $0.3 million in proceeds from contributions to our employee stock purchase plan.</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In February 2024, our Board of Directors authorized a share repurchase program of up to $100 million in shares of common stock. Repurchases may be made in the form of open market repurchases, including through plans complying with Rule 10b5-1 under the Exchange Act, depending on stock price, market conditions, and other factors, as determined by the Company. There can be no assurance as to the number of shares to be repurchased by us.</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repurchased a total of 723,577 shares of common stock under the share repurchase program for a total cost of $26.4 million, inclusive of excise taxes and trading fees, or an average price per share of $36.27. To date, we repurchased a total of 2,033,139 shares of common stock under the share repurchase program for a total cost of $70.0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starting in April 2024 for five years and approximately $1.5 million per year thereafter through the fourth quarter of 2035, the expected expiration date. For the 21,262 square foot office, we will pay the base rent of approximately $1.3 million starting in the fourth quarter of 2025 for five years and approximately $1.4 million per year thereafter through the fourth quarter of 2035, the expected expiration date. For our current 25,212 square foot office, we will pay the base rent of approximately $1.6 million per year beginning in June 2029 through the fourth quarter of 2035, the expected expiration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our critical accounting policies and estimates, see the disclosure included in our Annual Report on Form 10-K as well as "Financial Statements (Unaudited) —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full discussion of recently adopted accounting pronouncements, see "Financial Statements (Unaudited)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58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due to many factors, including U.S. monetary and tax policies, U.S. and international economic factors and other factors beyond our control.</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At March 31, 2024, we had cash and cash equivalents of $115.0 million and marketable securities of $256.9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Rate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March 31, 2024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 Item 1 “Financial Statements (Unaudited) — Note 6 —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results of operations, which would cause our stock price to decline.</w:t>
      </w:r>
    </w:p>
    <w:p>
      <w:pPr>
        <w:spacing w:after="0" w:line="15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and future results of operations. On May 9, 2024, we issued guidance for the second quarter of 2024 and full year 2024. This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this guidance, our management must make certain assumptions and judgments, including but not limited to, our business strategy, plans, goals, expectations concerning our market position, future operations and other financial and operating information, as well as the impact of events outside of our control (such as macroeconomic conditions) the COVID-19 pandemic or shortages of fertility medications that are or were at this time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and which could adversely affect our business and future results of operations. Furthermore,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fertility market in which we participate is competitive, and if we do not continue to compete effectively, our results of operations could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as to what we provide, there are alternative solutions in the market such as the health insurance companies that are able to provide fertility benefits management services as part of their overall administration of a company's health plan and that are our primary competition. In addition, other competitors include specialty fertility-focused solutions owned or sponsored by the health insurance companies to provide more comprehensive support to fertility patients than their general medical coverage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provides, such as case management or educational support, and the venture capital or private equity-backed companies that focus on maternity and reproductive health services more broadly, or who provide fertility-specific benefits solutions.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global economy or our industry could limit our ability to grow our business and negatively affect our results of operations.</w:t>
      </w:r>
    </w:p>
    <w:p>
      <w:pPr>
        <w:spacing w:after="0" w:line="14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geopolitical conflict, political turmoil, natural catastrophes, resurgences or outbreaks of contagious diseases or the worsening thereof, including the COVID-19 pandemic, warfare and terrorist attacks, could cause a decrease in business investments, including spending on employee benefits, and negatively affect the growth of our business.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Unfavorable changes in our industry, including reductions in general healthcare spending, or in the United States and global economy could have a negative effect on our and our clients’ and potential clients’ results of operations. This could result in the delay or cancellation by certain clients, including if purchases of our solution are perceived by clients and potential clients to be discretionary, if they experience a reduction in their employee headcounts, whether due to reductions in force or turnover, or are unable to grow employee headcounts or there are material defaults by members on past amounts due. An increase in the cost of obtaining fertility medication or general medical cost inflation could also negatively impact our results of operation. In addition, the increased pace of consolidation in the healthcare industry may result in competitors with greater market power.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 on our results of operations. We cannot predict the timing, strength, or duration of any economic slowdown, instability, or recovery, generally or within any particular industry, nor its impact on us or our clients.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A client can expand the fertility benefits they offer to their employees in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91% of our current clients have now launched this solution, including approximately 98% of the clients we signed in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timeliness and outcomes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timeliness, outcome, performance and functionality of competing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complementary solutions and services that will enhance our comprehensive family building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the enforcement of such laws and regulations, or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increase in the unemployment rate;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the business environment of our clients and, in particular, slowing growth or reduction in our clients’ headcount;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serve over 450 employers with at least 1,000 covered lives in the United States across more than 40 industries. For the three months ended March 31, 2024, one of our clients accounted for 11% of our total revenue. For the three months ended March 31, 2023, one of our clients accounted for 13%, of our total revenue. No other clients accounted for more than 10% of our total revenue for the three months ended March 31, 2024 and 2023. 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compromise our growth strategy.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24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clients. The market for our solutions could decline or grow more slowly than we expect, including due to general economic conditions, and high unemployment rates, reductions in workforce or employee attrition, impacts related to outbreaks and resurgences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impacted.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83"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including variants and resurgences, has had and may continue to have, and similar health epidemics or pandemics could in the future have, an adverse impact on our business, operations, and the markets and communities in which we and our clients, members and providers operate.</w:t>
      </w:r>
    </w:p>
    <w:p>
      <w:pPr>
        <w:spacing w:after="0" w:line="18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COVID-19 pandemic continues to evolve, with pockets of resurgence and the emergence of variant strains contributing to continued uncertainty about its scope, duration, severity, trajectory and lasting impact. The pandemic adversely impacted, and may continue to adversely impact, many aspects of our business. Our revenue growth in past periods was negatively impacted by COVID-19, including variants, and our revenue growth in future periods may continue to be adversely impacted by COVID-19.Our providers have delayed and may in the future delay new fertility cycles because they operate in areas acutely affected by the COVID-19 pandemic. Many of our members live in communities that have been acutely affected by the COVID-19 pandemic and have delayed and may not want to continue or begin new fertility cycles during the pandemic, including due to resurgences in and the emergence of variant strains. Furthermore, as certain of our potential clients experience downturns or uncertainty in their own business operations and revenue because of the economic effects resulting from the COVID-19 pandemic, they have and may continue to decrease their spending on health benefits, which may disproportionately impact fertility benefits, and delay or cancel implementation of fertility benefits. Each of these factors could affect member behavior, our utilization rates and the number of members enrolled in our clients’ benefit plans.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direct and indirect impacts to our business, the economy may continue to be impacted as a result of the COVID-19 pandemic, including any resurgences in infections, and actions taken in response to it.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spacing w:after="0" w:line="21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global impact of COVID-19, due to variants and resurgences of infections, continues to evolve, and we will continue to monitor the situation closely. The ultimate impact of the COVID-19 pandemic or a similar health epidemic or pandemic is highly uncertain and subject to change; and will depend on numerous evolving factors that we may not be able to accurately predict, including without limitation: the trajectory, duration, scope, severity, and any resurgences of the COVID-19 pandemic; any mandates, in particular as new variants emerge;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our internal control over financial reporting, as a result of changes in working environments for our employees and business partners. There is no guarantee that any future resurgences or future outbreaks of this or any other widespread epidemics or pandemics will not occur, or that the global economy will fully recover, either of which could seriously harm our business.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level or the mix of the utilization of our solutions could have an adverse effect on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impacts related to outbreaks and resurgence of contagious diseases and/or the worsening thereof, including the COVID-19 pandemic; employers no longer offering comprehensive health coverage or offering alternative solutions such as coverage on a voluntary, employee-funded basis; labor shortages at our clinics; federal and state legal and/or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or negative publicity, through social media or otherwise and news coverage.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success teams to educate potential clients and drive new client adoption, as well as enhance the scope of Progyny benefits within our existing client base. We also expect to incur additional costs as we introduce new solutions and services to enhance our comprehensive family building offering. We will also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or pharmacy benefit management practices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June 2021, the U.S. Supreme Court dismissed the most recent judicial challenge to the ACA brought by several states and ruled that the plaintiffs lacked standing to challenge the individual mandate provision, thus leaving the ACA in effect without ruling on the constitutionality of the individual mandate.</w:t>
      </w:r>
    </w:p>
    <w:p>
      <w:pPr>
        <w:spacing w:after="0" w:line="20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28, 2021, President Biden issued an Executive Order that reiterates the policy of the Administration to protect and strengthen the ACA, making high-quality healthcare accessible and affordable to all Americans. The Executive Order directed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may have on our business. We cannot predict the timing or impact of any future rulemaking, court decisions or other changes in the law.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our provider clinics, specialty pharmacies or other vendors have an issue with our or their respective information technology systems, it may result in a disruption to our operations or downstream disruption to our relationships with our clients or our selective network of high-quality fertility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specialists. Additionally, if we choose to in source any of the services currently handled by a third party, it may result in technological or operational disruptions.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COVID-19 pandemic, including its variants. As a result of such shift, there have been and may continue to be more targeted cybersecurity attacks and threats on us, our vendors, provider clinics and specialty pharmacies. Despite the implementation of security measures, including steps designed to secure our technology infrastructure and sensitive data, we can provide no assurance that our current information technology system or any updates or upgrades thereto, the current or future information technology systems of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8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We maintain cyber liability insurance; however, this insurance may not be sufficient to cover the financial, legal, business or reputational losses that may result from an interruption or breach of our systems.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 - We operate in a highly regulated industry and must comply with a significant number of complex and evolving legal and regulatory requirements,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as complex judicial mandates - Data Protection and Breaches.”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 negatively impacted, and our members’ and clients’ satisfaction with our solutions and services would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depend significantly on our ability to receive positive references from our existing clients, channel partners and benefit consultants.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marketing efforts depend significantly on our ability to call on our current clients, channel partners and benefit consultants to provide positive references to new and potential clients. Given our limited number of long-term clients, the loss or dissatisfaction of any client, channel partnership or benefit consulting relationship could substantially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may not grow at the rates they historically have, or at all.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new clients and maintain existing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and our business, financial position and results of operations may be harmed.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7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Additionally, in June 2022 the U.S. Supreme Court in </w:t>
      </w:r>
      <w:r>
        <w:rPr>
          <w:rFonts w:ascii="Times New Roman" w:cs="Times New Roman" w:eastAsia="Times New Roman" w:hAnsi="Times New Roman"/>
          <w:sz w:val="18"/>
          <w:szCs w:val="18"/>
          <w:i w:val="1"/>
          <w:iCs w:val="1"/>
          <w:color w:val="auto"/>
        </w:rPr>
        <w:t>Dobbs v. Jackson Women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Health Organization</w:t>
      </w:r>
      <w:r>
        <w:rPr>
          <w:rFonts w:ascii="Times New Roman" w:cs="Times New Roman" w:eastAsia="Times New Roman" w:hAnsi="Times New Roman"/>
          <w:sz w:val="18"/>
          <w:szCs w:val="18"/>
          <w:color w:val="auto"/>
        </w:rPr>
        <w:t xml:space="preserve"> reversed </w:t>
      </w:r>
      <w:r>
        <w:rPr>
          <w:rFonts w:ascii="Times New Roman" w:cs="Times New Roman" w:eastAsia="Times New Roman" w:hAnsi="Times New Roman"/>
          <w:sz w:val="18"/>
          <w:szCs w:val="18"/>
          <w:i w:val="1"/>
          <w:iCs w:val="1"/>
          <w:color w:val="auto"/>
        </w:rPr>
        <w:t>Roe v. Wade</w:t>
      </w:r>
      <w:r>
        <w:rPr>
          <w:rFonts w:ascii="Times New Roman" w:cs="Times New Roman" w:eastAsia="Times New Roman" w:hAnsi="Times New Roman"/>
          <w:sz w:val="18"/>
          <w:szCs w:val="18"/>
          <w:color w:val="auto"/>
        </w:rPr>
        <w:t xml:space="preserv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rulemaking, executive orders, court decisions or other changes in the law, or in how such laws, once enacted, would be interpreted and enforced.</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sales and results of operations.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to the first half.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our members, appropriately timed with market opportunity or effectively brought to market.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management team and our other key employees, and on our ability to continue to identify, attract, develop, integrate and retain them. From time to time, there are changes in our executive management team or other key employees. Our executive officers and other key employees are employed on an at-will basis, which means that these personnel could terminate their employment with us at any time. The loss of one or more of our executive officers or other key employees, or the failure by our executive team to effectively work with our employees and lead our company could in the future harm our business.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experienced sales and client success personnel. There is no guarantee we will be able to attract such personnel or that competition among potential employers will not result in us being required to offer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Additionally, our performance also depends in part on the successful integration of newly hired executive officers or other key employees into their roles.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mission we are pursuing promotes a sense of greater purpose and fulfillment in our employees. We have invested substantial time and resources in building our culture, and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were terminated, such terminations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it could result in us incurring substantial additional expenses, expose us to public scrutiny, adversely affect our brand and reputation, expose us to litigation and/or regulatory action, and otherwise make our operations vulnerable. Further, if 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channel partners and vendors, as well as insurance carriers.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arrangements with these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timely delivery of fertility prescriptions is essential for fertility treatments. If prescriptions are delivered late or become unavailable, it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with us, demand higher drug pricing or take other actions that could result in higher medical costs or less attractive services for our members.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Specialty pharmacies could face supply chain issues or regulatory delays impacting the availability or distribution of certain fertility prescriptions requiring drug substitutions that could result in higher medical costs or negatively impact our revenues, rebates and results of operations. We do not control the pricing strategies or supply chains of our specialty pharmacy partners, each of whom may be impacted by general economic considerations, including inflation and other independent considerations and drivers that are outside our control, and each of whom has the ability to set or impact market price for different prescription medications. We also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fertility medications and alternative treatment options, and negotiated rates among industry participants—impact the list prices for medications. Our ability to obtain and maintain specialty pharmaceutical rebates, our relative bargaining power, the value of any such rebates and our ability to generate revenue are directly affected by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relationships with benefits consultants.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the benefits consultants, our marketing efforts, business and profitability would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evolving legal and regulatory requirements, as well as complex judicial mandates.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or network partners to violate, applicable laws, regulations or other requirements could subject us or our clients to significant administrative, civil or criminal penalties. Such a determination also could require us to change or terminate portions of our business, disqualify us from serving clients in certain states, or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judicial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93" w:lineRule="exact"/>
        <w:rPr>
          <w:sz w:val="20"/>
          <w:szCs w:val="20"/>
          <w:color w:val="auto"/>
        </w:rPr>
      </w:pPr>
    </w:p>
    <w:p>
      <w:pPr>
        <w:jc w:val="both"/>
        <w:ind w:left="660" w:hanging="328"/>
        <w:spacing w:after="0" w:line="25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Licensing and Licensed Personnel</w:t>
      </w:r>
      <w:r>
        <w:rPr>
          <w:rFonts w:ascii="Times New Roman" w:cs="Times New Roman" w:eastAsia="Times New Roman" w:hAnsi="Times New Roman"/>
          <w:sz w:val="18"/>
          <w:szCs w:val="18"/>
          <w:color w:val="auto"/>
        </w:rPr>
        <w:t>. Many states have licensure or registration requirements for entities acting as a third-party administrator,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We cannot predict what effect, if any, such statutes, if enacted, may have on our business and financial results.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9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operations. We may additionally need to suspend the PCA services we provide while our personnel obtain the necessary licensure, which may adversely affect our relationships with our clients and members and cause us to be in breach of our contracts.</w:t>
      </w:r>
    </w:p>
    <w:p>
      <w:pPr>
        <w:spacing w:after="0" w:line="185" w:lineRule="exact"/>
        <w:rPr>
          <w:sz w:val="20"/>
          <w:szCs w:val="20"/>
          <w:color w:val="auto"/>
        </w:rPr>
      </w:pPr>
    </w:p>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HIPAA Privacy and Security Requirements</w:t>
      </w:r>
      <w:r>
        <w:rPr>
          <w:rFonts w:ascii="Times New Roman" w:cs="Times New Roman" w:eastAsia="Times New Roman" w:hAnsi="Times New Roman"/>
          <w:sz w:val="18"/>
          <w:szCs w:val="18"/>
          <w:color w:val="auto"/>
        </w:rPr>
        <w:t>. Regulations promulgated pursuant to HIPAA, as amended, and regulations promulgated thereunder,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collectively, HIPAA establish privacy and security standards that limit the 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86" w:lineRule="exact"/>
        <w:rPr>
          <w:rFonts w:ascii="Times New Roman" w:cs="Times New Roman" w:eastAsia="Times New Roman" w:hAnsi="Times New Roman"/>
          <w:sz w:val="18"/>
          <w:szCs w:val="18"/>
          <w:b w:val="1"/>
          <w:bCs w:val="1"/>
          <w:i w:val="1"/>
          <w:iCs w:val="1"/>
          <w:color w:val="auto"/>
        </w:rPr>
      </w:pPr>
    </w:p>
    <w:p>
      <w:pPr>
        <w:jc w:val="both"/>
        <w:ind w:left="66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91"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Privacy and Security Requirements</w:t>
      </w:r>
      <w:r>
        <w:rPr>
          <w:rFonts w:ascii="Times New Roman" w:cs="Times New Roman" w:eastAsia="Times New Roman" w:hAnsi="Times New Roman"/>
          <w:sz w:val="18"/>
          <w:szCs w:val="18"/>
          <w:color w:val="auto"/>
        </w:rPr>
        <w:t>. In addition to HIPAA, numerous other federal and state laws govern the collection, dissemination,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and confidentiality of personal information, some of which may be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the California Consumer Privacy Act of 2018, or CCPA, went into effect on January 1, 2020,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which has increased the likelihood and risks associated with data breach litigation. Further, the California Privacy Rights Act, or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w:t>
      </w:r>
    </w:p>
    <w:p>
      <w:pPr>
        <w:spacing w:after="0" w:line="196"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93" w:lineRule="exact"/>
        <w:rPr>
          <w:sz w:val="20"/>
          <w:szCs w:val="20"/>
          <w:color w:val="auto"/>
        </w:rPr>
      </w:pPr>
    </w:p>
    <w:p>
      <w:pPr>
        <w:jc w:val="both"/>
        <w:ind w:left="660" w:hanging="328"/>
        <w:spacing w:after="0" w:line="25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Protection and Breaches</w:t>
      </w:r>
      <w:r>
        <w:rPr>
          <w:rFonts w:ascii="Times New Roman" w:cs="Times New Roman" w:eastAsia="Times New Roman" w:hAnsi="Times New Roman"/>
          <w:sz w:val="18"/>
          <w:szCs w:val="18"/>
          <w:color w:val="auto"/>
        </w:rPr>
        <w:t>. In recent years, there have been a number of well-publicized data breaches involving the improper dissemination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personal information of individuals both within and outside of the healthcare industry. Laws in all 50 states require businesses to provide notice to clients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6"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may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8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83" w:lineRule="exact"/>
        <w:rPr>
          <w:sz w:val="20"/>
          <w:szCs w:val="20"/>
          <w:color w:val="auto"/>
        </w:rPr>
      </w:pPr>
    </w:p>
    <w:p>
      <w:pPr>
        <w:jc w:val="both"/>
        <w:ind w:left="660" w:hanging="328"/>
        <w:spacing w:after="0" w:line="255"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Transaction and Identifier Standards</w:t>
      </w:r>
      <w:r>
        <w:rPr>
          <w:rFonts w:ascii="Times New Roman" w:cs="Times New Roman" w:eastAsia="Times New Roman" w:hAnsi="Times New Roman"/>
          <w:sz w:val="18"/>
          <w:szCs w:val="18"/>
          <w:color w:val="auto"/>
        </w:rPr>
        <w:t>. HIPAA and its implementing regulations mandate format and data content standards and provider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88"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Fraud and Abuse Laws</w:t>
      </w:r>
      <w:r>
        <w:rPr>
          <w:rFonts w:ascii="Times New Roman" w:cs="Times New Roman" w:eastAsia="Times New Roman" w:hAnsi="Times New Roman"/>
          <w:sz w:val="18"/>
          <w:szCs w:val="18"/>
          <w:color w:val="auto"/>
        </w:rPr>
        <w:t>. Many of our clients, insurance carriers, and network healthcare providers are impacted directly and indirectly by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fraud and abuse laws, including the federal Anti-Kickback Statute, the Physician Self-Referral Law, commonly referred to as the Stark Law, and the False Claims Act, as well as their state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84" w:lineRule="exact"/>
        <w:rPr>
          <w:sz w:val="20"/>
          <w:szCs w:val="20"/>
          <w:color w:val="auto"/>
        </w:rPr>
      </w:pPr>
    </w:p>
    <w:p>
      <w:pPr>
        <w:jc w:val="both"/>
        <w:ind w:left="660" w:hanging="328"/>
        <w:spacing w:after="0" w:line="25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State Corporate Practice and Fee-Splitting Prohibitions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is a risk that regulatory authorities in some jurisdictions may find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ERISA Regulation</w:t>
      </w:r>
      <w:r>
        <w:rPr>
          <w:rFonts w:ascii="Times New Roman" w:cs="Times New Roman" w:eastAsia="Times New Roman" w:hAnsi="Times New Roman"/>
          <w:sz w:val="18"/>
          <w:szCs w:val="18"/>
          <w:color w:val="auto"/>
        </w:rPr>
        <w:t>. The Employee Retirement Income Security Act of 1974, or ERISA, regulates certain aspects of employee health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Times New Roman" w:cs="Times New Roman" w:eastAsia="Times New Roman" w:hAnsi="Times New Roman"/>
          <w:sz w:val="18"/>
          <w:szCs w:val="18"/>
          <w:i w:val="1"/>
          <w:iCs w:val="1"/>
          <w:color w:val="auto"/>
        </w:rPr>
        <w:t>Rutledge v. Pharm.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Mgmt. Ass’n </w:t>
      </w:r>
      <w:r>
        <w:rPr>
          <w:rFonts w:ascii="Times New Roman" w:cs="Times New Roman" w:eastAsia="Times New Roman" w:hAnsi="Times New Roman"/>
          <w:sz w:val="18"/>
          <w:szCs w:val="18"/>
          <w:color w:val="auto"/>
        </w:rPr>
        <w:t>established that ERISA does not preempt all state laws imposing transparency or other requirements on PBMs.</w:t>
      </w:r>
    </w:p>
    <w:p>
      <w:pPr>
        <w:spacing w:after="0" w:line="18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Prompt Pay Laws</w:t>
      </w:r>
      <w:r>
        <w:rPr>
          <w:rFonts w:ascii="Times New Roman" w:cs="Times New Roman" w:eastAsia="Times New Roman" w:hAnsi="Times New Roman"/>
          <w:sz w:val="18"/>
          <w:szCs w:val="18"/>
          <w:color w:val="auto"/>
        </w:rPr>
        <w:t>. Certain states have laws regulating the amount of time that may elapse from when a third-party payor receives a claim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rendered to when those services are paid. These “prompt pay” laws may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88" w:lineRule="exact"/>
        <w:rPr>
          <w:sz w:val="20"/>
          <w:szCs w:val="20"/>
          <w:color w:val="auto"/>
        </w:rPr>
      </w:pPr>
    </w:p>
    <w:p>
      <w:pPr>
        <w:jc w:val="both"/>
        <w:ind w:left="660" w:hanging="328"/>
        <w:spacing w:after="0" w:line="25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Adequacy and Access Requirements</w:t>
      </w:r>
      <w:r>
        <w:rPr>
          <w:rFonts w:ascii="Times New Roman" w:cs="Times New Roman" w:eastAsia="Times New Roman" w:hAnsi="Times New Roman"/>
          <w:sz w:val="18"/>
          <w:szCs w:val="18"/>
          <w:color w:val="auto"/>
        </w:rPr>
        <w:t>. Network adequacy and access laws require health plans to maintain a network of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Protection Laws</w:t>
      </w:r>
      <w:r>
        <w:rPr>
          <w:rFonts w:ascii="Times New Roman" w:cs="Times New Roman" w:eastAsia="Times New Roman" w:hAnsi="Times New Roman"/>
          <w:sz w:val="18"/>
          <w:szCs w:val="18"/>
          <w:color w:val="auto"/>
        </w:rPr>
        <w:t>. Federal and state consumer protection laws are being applied increasingly by the Federal Trade Commission, or FTC,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Communications Commission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Restrictions on Communication</w:t>
      </w:r>
      <w:r>
        <w:rPr>
          <w:rFonts w:ascii="Times New Roman" w:cs="Times New Roman" w:eastAsia="Times New Roman" w:hAnsi="Times New Roman"/>
          <w:sz w:val="18"/>
          <w:szCs w:val="18"/>
          <w:color w:val="auto"/>
        </w:rPr>
        <w:t>. Communications with our members increasingly may be subject to and restricted by laws and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as well as efforts to repeal or replace certain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aspects of the ACA. On June 17, 2021, the U.S. Supreme Court dismissed the most recent judicial challenge to the ACA brought by several states without specifically ruling on the constitutionality of the ACA.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Most recently, on August 16, 2022, President Biden signed the Inflation Reduction Act of 2022, or IRA, into law. The health reform measures included in the IRA largely focus on pharmaceutical manufacturers, but are likely to impact the reimbursement and drug pricing environment for healthcare providers and insurers more broadly in ways that cannot yet be fully determined.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DOL,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unable to predict how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 insurance carriers, and healthcare providers. Additionally, we cannot predict the timing or impact of any future rulemaking, court decisions or other changes in the law. If we are unable to comply with these laws or regulations or provide adequate assistance to our clients subject to these laws or regulations, it is reasonably possible that our business operations and results of operations could be materially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potential changes in laws, regulations, government enforcement priorities, public policy, state and federal judicial action, industry standards and other requirements, including with respect to Progyny Rx’s PBM practices, which create risks and challenges with respect to our compliance efforts and business strategies, or the business of our network partners, which may adversely affect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as well as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recently enacted IRA, and other federal and state efforts to reform or revise aspects of the healthcare industry or to revise or create additional legal and/or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among other things, disclosure, receipt and retention of rebates and other payments received from pharmaceutical manufacturers or pharmacy program partners,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In June 2022, the FTC announced an inquiry regarding the role of PBMs and stated its intent to closely scrutinize the impact of PBM rebates and fees on patients and payers.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Further, the U.S. Supreme Court’s decision in </w:t>
      </w:r>
      <w:r>
        <w:rPr>
          <w:rFonts w:ascii="Times New Roman" w:cs="Times New Roman" w:eastAsia="Times New Roman" w:hAnsi="Times New Roman"/>
          <w:sz w:val="18"/>
          <w:szCs w:val="18"/>
          <w:i w:val="1"/>
          <w:iCs w:val="1"/>
          <w:color w:val="auto"/>
        </w:rPr>
        <w:t>Rutledge v. Pharm. Care Mgmt. Ass’n</w:t>
      </w:r>
      <w:r>
        <w:rPr>
          <w:rFonts w:ascii="Times New Roman" w:cs="Times New Roman" w:eastAsia="Times New Roman" w:hAnsi="Times New Roman"/>
          <w:sz w:val="18"/>
          <w:szCs w:val="18"/>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For example, effective June 1, 2022, New York enacted a law that establishes regulatory oversight of PBMs.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or allow regulators to conduct audits of PBM operations.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Accordingly, it is reasonably possible that our business operations and our results of operations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our ability to standardize Progyny Rx PBM products and services across state lines. Further, our failure to comply with these laws or regulations could result in material fines and/or sanctions and could have a material adverse effect on our results of operations and/or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operate only in the United States, we remain subject to the U.S. Foreign Corrupt Practices Act, U.S. domestic anti-bribery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potential sales to government entities are subject to a number of challenges and risks.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proprietary trade secret and confidential information, including unpatented know-how, technology and other proprietary information, and maintaining, defending and enforcing our intellectual property rights. We rely on our agreements with our clients,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employees and management from their normal responsibilities.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need to build name recognition by potential collaborators or clients in our markets of interest.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joint ventures, products and services, or technologies that we believe could complement or expand our platform, enhance our technical capabilities, or otherwise offer growth opportunities. In addition, Progyny seeks to continue to expand its offerings in preconception, maternity and postpartum, menopause and related offerings.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21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(such as the recent IRA, which, among other changes, introduced a 15% corporate minimum tax on certain United States corporations and a 1% excise tax on certain stock redemptions by United States corporations);</w:t>
      </w:r>
    </w:p>
    <w:p>
      <w:pPr>
        <w:spacing w:after="0" w:line="1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future tax audits, examinations, or administrative appeals;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impact tax items, including such items resulting from the amount and timing of equity exercises and our stock price.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developments could have an adverse effect on our results of operations.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existing at the time of the ownership change, which could adversely affect our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1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are subject to interpretation by the Financial Accounting Standards Board, or FASB, the SEC and various bodies formed to promulgate and interpret appropriate accounting principles.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controls,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 See Note 2 – Significant Accounting Policies included in Part I, Item 1 of this Quarterly Report on Form 10-Q for additional information on recently issued but not yet adopted accounting standards.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common stock may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volume of direct sales into the market by large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of research or other reports about us or our industry, including those which may contain inaccurate or misleading information, financial estimates about us, changes in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of our company, providers, vendors or pharmacies;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threats of litigation against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incidents of terrorism, or responses to these events;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including those related to the COVID-19 pandemic, may also negatively impact the market price of our common stock. Fluctuations in our quarterly operating results and the price of our common stock may be particularly pronounced in the current economic environment, including due to the uncertainty caused by the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to continue to fund operations by selling shares and may impair our ability to acquire other companies or technologies by using our shares as consideration.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and mix of utilization of our solutions by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expansion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expense, goodwill impairments and other non-cash charges;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participate, including those related to the COVID-19 pandemic;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solutions and services.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long-term impact of the COVID-19 pandemic could result in adverse changes in our results of operations for an unknown period of time.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this internal control may adversely affect investor confidence in our company and, as a result, the value of our common stock.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Annual Report on Form 10-K filing for each year, as required by Section 404.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that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the ownership interests of all other stockholders.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market price and trading volume of our common stock will be heavily influenced by the way analysts interpret our financial information and other disclosures. We do not have control over these analysts. If securities analysts or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and the trading volume of our common stock could decrease.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incur as a public company or the specific timing of such costs.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76"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amended and restated bylaws and certain provisions of our amended and restated certificate of incorporation.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amended and restated bylaws; (4) any action or proceeding to interpret, apply, enforce or determine the validity of our amended and restated certificate of incorporation or our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result in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impact our ability to obtain any necessary financing and adversely impact our business, financial condition and stock price.</w:t>
      </w:r>
    </w:p>
    <w:p>
      <w:pPr>
        <w:spacing w:after="0" w:line="15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global economy, including financial and credit markets, has recently experienced volatility and uncertainty, including rising interest and inflation rates, declines in economic growth, and declines in global equity markets. If the equity and credit markets continue to deteriorate, or the United States enters a recession, it may make any necessary debt or equity financing more difficult to obtain in a timely manner or on favorable terms, more costly or more dilutive. As a result, our business, results of operations, and price of our common stock may be adversely affected.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the SEC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or ESG, practices and reporting. The SEC and investors have focused increasingly on ESG practices and placed increasing importance on the implications and social cost of ESG reporting. With this increased focus and demand, public reporting regarding ESG practices is becoming more broadly expected. Expectations regarding voluntary ESG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initiatives and disclosures may result in increased costs, changes in demand for certain offerings, enhanced compliance or disclosure obligations, or other adverse impacts to our business, financial condition or results of operations. We may provide information in this Quarterly Report on Form 10-Q or our other filings with the SEC that are informed by various ESG standards and frameworks (including standards for the measurement of underlying data) and the interest of various stakeholders. Much of this information is subject to assumptions, estimates or third-party information that is still evolving and subject to change, and our disclosures based on any standards may change due to revisions in framework requirements, availability of information, changes in our business or applicable government policies, or other factors, some of which may be beyond our control. If our ESG practices and reporting do not meet or are viewed as not meeting SEC, investor or other industry or stakeholder expectations, which continue to evolve, our brand, reputation and investor retention may be negatively impacted. It is possible that stakeholders may not be satisfied with our ESG practices or the speed of their adoption. We could also incur additional costs and require additional resources to monitor, report, implement, enhance and comply with various ESG practices and standards. Also, our failure, or perceived failure to meet the standards included in any ESG disclosure could negatively impact our reputation, employee recruiting and retention, and the willingness of our customers and suppliers to do business with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Settlement of Equity 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2024, we withheld shares through net settlements (where the award holder receives the net of the shares vested, after surrendering a portion of the shares back to the Company for tax withholding) for certain restricted stock units that vested.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29, 2024, the Company announced a share repurchase program of up to $100 million in shares of common stock. Repurchases may be in the form of open market repurchases, including through plans complying with Rule 10b5-1 under the Exchange Act, depending on stock price, market conditions, and other factors, as determined by the Company. There can be no assurance as to the number of shares to be repurchased by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share repurchase activity as well as shares surrendered back to the Company for tax withholding on restricted stock units that vested under our equity incentive plans during the three months ended March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 of Shares That</w:t>
            </w: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160"/>
        </w:trPr>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3"/>
                <w:szCs w:val="13"/>
                <w:color w:val="auto"/>
              </w:rPr>
            </w:pPr>
          </w:p>
        </w:tc>
        <w:tc>
          <w:tcPr>
            <w:tcW w:w="158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79"/>
              <w:spacing w:after="0" w:line="160" w:lineRule="exact"/>
              <w:rPr>
                <w:sz w:val="20"/>
                <w:szCs w:val="20"/>
                <w:color w:val="auto"/>
              </w:rPr>
            </w:pPr>
            <w:r>
              <w:rPr>
                <w:rFonts w:ascii="Times New Roman" w:cs="Times New Roman" w:eastAsia="Times New Roman" w:hAnsi="Times New Roman"/>
                <w:sz w:val="14"/>
                <w:szCs w:val="14"/>
                <w:b w:val="1"/>
                <w:bCs w:val="1"/>
                <w:color w:val="auto"/>
              </w:rPr>
              <w:t>Under the Program</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Repurchased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0"/>
        </w:trPr>
        <w:tc>
          <w:tcPr>
            <w:tcW w:w="4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through January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2024 through February 29,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68,182</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98,750</w:t>
            </w: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through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729,124</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689,423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73,756</w:t>
            </w:r>
          </w:p>
        </w:tc>
      </w:tr>
      <w:tr>
        <w:trPr>
          <w:trHeight w:val="257"/>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824,435</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79" w:lineRule="exact"/>
        <w:rPr>
          <w:sz w:val="20"/>
          <w:szCs w:val="20"/>
          <w:color w:val="auto"/>
        </w:rPr>
      </w:pPr>
    </w:p>
    <w:p>
      <w:pPr>
        <w:ind w:left="160" w:hanging="152"/>
        <w:spacing w:after="0"/>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share repurchases and shares withheld on net settlements of restricted stock units that vested under our equity incentive plans.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jc w:val="both"/>
        <w:ind w:left="660" w:hanging="328"/>
        <w:spacing w:after="0" w:line="255" w:lineRule="auto"/>
        <w:tabs>
          <w:tab w:leader="none" w:pos="6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9, 2024, the Compensation Committee of the Company’s Board of Directors approved the Progyny, Inc. Executive Severance Plan (the “Severance Plan”) for employees at the level of executive vice president and above. The Severance Plan provides for the payment of severance and other benefits to eligible participants in the event of an involuntary termination of employment by the Company without cause or a resignation of employment by the participant for good reason.</w:t>
      </w:r>
    </w:p>
    <w:p>
      <w:pPr>
        <w:spacing w:after="0" w:line="186" w:lineRule="exact"/>
        <w:rPr>
          <w:rFonts w:ascii="Times New Roman" w:cs="Times New Roman" w:eastAsia="Times New Roman" w:hAnsi="Times New Roman"/>
          <w:sz w:val="18"/>
          <w:szCs w:val="18"/>
          <w:color w:val="auto"/>
        </w:rPr>
      </w:pPr>
    </w:p>
    <w:p>
      <w:pPr>
        <w:jc w:val="both"/>
        <w:ind w:left="66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participant, the Severance Plan provides that, upon a qualifying termination, the participant will be eligible to receive (i) an amount equal to 12 months of base salary, payable in equal installments, (ii) a pro-rated amount of the participant’s annual bonus, payable in a lump sum, (iii) subsidized COBRA during the 12-month severance period, and (iv) any equity awards that are scheduled to vest during the 12-month period following the participant’s termination date will become vested (collectively, the “Severance Benefits”).</w:t>
      </w:r>
    </w:p>
    <w:p>
      <w:pPr>
        <w:spacing w:after="0" w:line="198" w:lineRule="exact"/>
        <w:rPr>
          <w:rFonts w:ascii="Times New Roman" w:cs="Times New Roman" w:eastAsia="Times New Roman" w:hAnsi="Times New Roman"/>
          <w:sz w:val="18"/>
          <w:szCs w:val="18"/>
          <w:color w:val="auto"/>
        </w:rPr>
      </w:pPr>
    </w:p>
    <w:p>
      <w:pPr>
        <w:jc w:val="both"/>
        <w:ind w:left="66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qualifying termination that occurs within one month prior to or the 12-month period immediately following a change of control, the participant will be eligible to receive (i) the Severance Benefits and (ii) accelerated vesting of 100% of their then-unvested equity awards. In addition, all cash amounts shall be paid in a single lump sum.</w:t>
      </w:r>
    </w:p>
    <w:p>
      <w:pPr>
        <w:spacing w:after="0" w:line="212" w:lineRule="exact"/>
        <w:rPr>
          <w:rFonts w:ascii="Times New Roman" w:cs="Times New Roman" w:eastAsia="Times New Roman" w:hAnsi="Times New Roman"/>
          <w:sz w:val="18"/>
          <w:szCs w:val="18"/>
          <w:color w:val="auto"/>
        </w:rPr>
      </w:pPr>
    </w:p>
    <w:p>
      <w:pPr>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participant’s employment is terminated due to death or disability, the participant will be eligible to receive only accelerated vesting of 100% of their then-unvested equity awards.</w:t>
      </w:r>
    </w:p>
    <w:p>
      <w:pPr>
        <w:spacing w:after="0" w:line="189" w:lineRule="exact"/>
        <w:rPr>
          <w:rFonts w:ascii="Times New Roman" w:cs="Times New Roman" w:eastAsia="Times New Roman" w:hAnsi="Times New Roman"/>
          <w:sz w:val="18"/>
          <w:szCs w:val="18"/>
          <w:color w:val="auto"/>
        </w:rPr>
      </w:pPr>
    </w:p>
    <w:p>
      <w:pPr>
        <w:jc w:val="both"/>
        <w:ind w:left="66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participant is eligible to receive greater severance benefits under an employment agreement currently in effect with the Company, such participant will receive the greater of (x) the benefits under the Severance Plan or (y) the benefits under such participant’s employment agreement.</w:t>
      </w:r>
    </w:p>
    <w:p>
      <w:pPr>
        <w:spacing w:after="0" w:line="197" w:lineRule="exact"/>
        <w:rPr>
          <w:rFonts w:ascii="Times New Roman" w:cs="Times New Roman" w:eastAsia="Times New Roman" w:hAnsi="Times New Roman"/>
          <w:sz w:val="18"/>
          <w:szCs w:val="18"/>
          <w:color w:val="auto"/>
        </w:rPr>
      </w:pPr>
    </w:p>
    <w:p>
      <w:pPr>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right to receive the severance payments and benefits is subject to their execution and non-revocation of a general release of claims in favor of the Company and their continued compliance with any applicable restrictive covenants.</w:t>
      </w:r>
    </w:p>
    <w:p>
      <w:pPr>
        <w:spacing w:after="0" w:line="203" w:lineRule="exact"/>
        <w:rPr>
          <w:rFonts w:ascii="Times New Roman" w:cs="Times New Roman" w:eastAsia="Times New Roman" w:hAnsi="Times New Roman"/>
          <w:sz w:val="18"/>
          <w:szCs w:val="18"/>
          <w:color w:val="auto"/>
        </w:rPr>
      </w:pPr>
    </w:p>
    <w:p>
      <w:pPr>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description of the Severance Plan is qualified in its entirety by reference to the complete text of the Severance Plan, a copy of which is filed as Exhibit 10.1 to this Quarterly Report on Form 10-Q and is incorporated herein by reference.</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61" w:lineRule="auto"/>
        <w:tabs>
          <w:tab w:leader="none" w:pos="6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26, 2024, Peter Anevski, our Chief Executive Officer, adopted a trading plan that is intended to satisfy the conditions under Rule 10b5-1(c) of the Exchange Act. Mr. Anevski’s trading plan is for the sale of up to 1,195,000 shares of the Company’s common stock in amounts and prices determined in accordance with a formula set forth in the plan. The plan terminates on the earlier of the date all shares under the plan are sold or April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80" w:type="dxa"/>
            <w:vAlign w:val="bottom"/>
            <w:gridSpan w:val="6"/>
            <w:vMerge w:val="restart"/>
          </w:tcPr>
          <w:p>
            <w:pPr>
              <w:jc w:val="right"/>
              <w:ind w:righ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3"/>
                <w:szCs w:val="13"/>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6"/>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2"/>
        </w:trPr>
        <w:tc>
          <w:tcPr>
            <w:tcW w:w="10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FF"/>
              </w:rPr>
              <w:t>Progyny, Inc. Executive Severance Plan</w:t>
            </w:r>
            <w:r>
              <w:rPr>
                <w:rFonts w:ascii="Times New Roman" w:cs="Times New Roman" w:eastAsia="Times New Roman" w:hAnsi="Times New Roman"/>
                <w:sz w:val="18"/>
                <w:szCs w:val="18"/>
                <w:color w:val="000000"/>
              </w:rPr>
              <w: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4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0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500" w:type="dxa"/>
            <w:vAlign w:val="bottom"/>
            <w:tcBorders>
              <w:top w:val="single" w:sz="8" w:color="0000FF"/>
            </w:tcBorders>
            <w:gridSpan w:val="6"/>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460" w:type="dxa"/>
            <w:vAlign w:val="bottom"/>
            <w:tcBorders>
              <w:top w:val="single" w:sz="8" w:color="0000FF"/>
            </w:tcBorders>
            <w:gridSpan w:val="4"/>
          </w:tcPr>
          <w:p>
            <w:pPr>
              <w:spacing w:after="0"/>
              <w:rPr>
                <w:sz w:val="15"/>
                <w:szCs w:val="15"/>
                <w:color w:val="auto"/>
              </w:rPr>
            </w:pPr>
          </w:p>
        </w:tc>
        <w:tc>
          <w:tcPr>
            <w:tcW w:w="34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7"/>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2"/>
                <w:szCs w:val="22"/>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3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Furnished herewith.</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9"/>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Progyny, Inc.</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256" w:right="339" w:bottom="1440" w:gutter="0" w:footer="0" w:header="0"/>
        </w:sectPr>
      </w:pPr>
    </w:p>
    <w:bookmarkStart w:id="68" w:name="page69"/>
    <w:bookmarkEnd w:id="68"/>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May 9,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INTRODUCTION AND ADMINISTRATION</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xml:space="preserve">. This Progyny, Inc. Executive Severance Plan (this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being adopted pursuant to the authorization of the Committee for the benefit of certain executives of the Company. This Plan is intended to provide severance benefits to certain executives who experience a Qualifying Termination or a termination due to death or Disability.</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Plan is an “employee benefit plan,” as defined in Section 3(3) of ERISA and qualifies as a “top-hat” plan for a select group of management or highly compensated employees within the meaning of Sections 201(2), 301(a)(3) and 401(a)(1) of ERISA. As a “severance pay arrangement” within the meaning of Section 3(2)(B)(i) of ERISA, the Plan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 2510.3-2(b).</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Subject to Section 5.1 hereof, the Plan shall be interpreted, administered and operated by the Committee, which shall have complete authority, subject to the express provisions of the Plan, to interpret the Plan, and to make all other determinations necessary or advisable for the administration of the Plan. The Committee may delegate any of its duties hereunder to a subcommittee, or to such person or persons from time to time as it may designate (other than to any Participant in the Plan). All decisions, interpretations and other actions of the Committee (including with respect to whether a Qualifying Termination has occurred) shall be final, conclusive and binding on all parties who have an interest in the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DEFINITIONS AND CONSTRUCTION</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Where the following words and phrases appear in this Plan, they shall have the respective meanings set forth below, unless their context clearly indicates otherwise.</w:t>
      </w:r>
    </w:p>
    <w:p>
      <w:pPr>
        <w:spacing w:after="0" w:line="195"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shall mean the Board of Directors of the Company.</w:t>
      </w:r>
    </w:p>
    <w:p>
      <w:pPr>
        <w:spacing w:after="0" w:line="238" w:lineRule="exact"/>
        <w:rPr>
          <w:rFonts w:ascii="Times New Roman" w:cs="Times New Roman" w:eastAsia="Times New Roman" w:hAnsi="Times New Roman"/>
          <w:sz w:val="18"/>
          <w:szCs w:val="18"/>
          <w:color w:val="auto"/>
        </w:rPr>
      </w:pPr>
    </w:p>
    <w:p>
      <w:pPr>
        <w:jc w:val="both"/>
        <w:ind w:firstLine="8"/>
        <w:spacing w:after="0" w:line="239"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shall mean the Participant has engaged in one of more of the following: (i) commission of, conviction for, or guilty plea to, a felony or crime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involving moral turpitude; (ii) a willful refusal by the Participant to comply with the lawful, material and reasonable instructions of the Company (or its subsidiaries), or to otherwise materially perform the Participant’s duties as lawfully and reasonably determined by the Company (or its subsidiaries), in each case that is not cured by the Participant (if such refusal is capable of being cured) within 15 days of written notice being given to the Participant of such refusal; (iii) any willful act or acts of dishonesty undertaken by the Participant and intended to result in Participant’s (or any other person’s) material gain or personal enrichment at the expense of the Company, its subsidiaries or any of its or their customers, partners, affiliates, or employees; (iv) any willful act of gross misconduct by you that is injurious to the Company or its subsidiaries; or (v) any material breach by the Participant of the Participant’s obligations under any agreement between Participant and the Company or its subsidiaries that is not cured by the Participant (if such breach is capable of being cured) within 15 days of written notice being given to the Participant of such breach.</w:t>
      </w:r>
    </w:p>
    <w:p>
      <w:pPr>
        <w:spacing w:after="0" w:line="21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of Control” </w:t>
      </w:r>
      <w:r>
        <w:rPr>
          <w:rFonts w:ascii="Times New Roman" w:cs="Times New Roman" w:eastAsia="Times New Roman" w:hAnsi="Times New Roman"/>
          <w:sz w:val="18"/>
          <w:szCs w:val="18"/>
          <w:color w:val="auto"/>
        </w:rPr>
        <w:t>shall have the same meaning as such term is defined under the Equity Plan.</w:t>
      </w:r>
    </w:p>
    <w:p>
      <w:pPr>
        <w:spacing w:after="0" w:line="2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shall mean the Internal Revenue Code of 1986, as amended.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shall mean the Compensation Committee of the Board.</w:t>
      </w:r>
    </w:p>
    <w:p>
      <w:pPr>
        <w:sectPr>
          <w:pgSz w:w="11900" w:h="16838" w:orient="portrait"/>
          <w:cols w:equalWidth="0" w:num="1">
            <w:col w:w="11240"/>
          </w:cols>
          <w:pgMar w:left="320" w:top="1440" w:right="339" w:bottom="1440" w:gutter="0" w:footer="0" w:header="0"/>
        </w:sectPr>
      </w:pPr>
    </w:p>
    <w:bookmarkStart w:id="69" w:name="page70"/>
    <w:bookmarkEnd w:id="69"/>
    <w:p>
      <w:pPr>
        <w:ind w:left="240" w:hanging="232"/>
        <w:spacing w:after="0"/>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shall mean Progyny, Inc., a Delaware corporation, and shall include its successors and assigns.</w:t>
      </w:r>
    </w:p>
    <w:p>
      <w:pPr>
        <w:spacing w:after="0" w:line="2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“Continuous Service” </w:t>
      </w:r>
      <w:r>
        <w:rPr>
          <w:rFonts w:ascii="Times New Roman" w:cs="Times New Roman" w:eastAsia="Times New Roman" w:hAnsi="Times New Roman"/>
          <w:sz w:val="18"/>
          <w:szCs w:val="18"/>
          <w:color w:val="auto"/>
        </w:rPr>
        <w:t>shall have the same meaning as such term is defined under the Equity Plan.</w:t>
      </w:r>
    </w:p>
    <w:p>
      <w:pPr>
        <w:spacing w:after="0" w:line="238" w:lineRule="exact"/>
        <w:rPr>
          <w:rFonts w:ascii="Times New Roman" w:cs="Times New Roman" w:eastAsia="Times New Roman" w:hAnsi="Times New Roman"/>
          <w:sz w:val="18"/>
          <w:szCs w:val="18"/>
          <w:color w:val="auto"/>
        </w:rPr>
      </w:pPr>
    </w:p>
    <w:p>
      <w:pPr>
        <w:jc w:val="both"/>
        <w:ind w:firstLine="8"/>
        <w:spacing w:after="0" w:line="246"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shall mean, with respect to a Participant, such Participant is unable to engage in any substantial gainful activity by reason of any medically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determinable physical or mental impairment that can be expected to result in death or that has lasted or can be expected to last for a continuous period of not less than twelve (12) months, as provided in Section 22(e)(3) of the Code, and will be determined by the Board on the basis of such medical evidence as the Board deems warranted under the circumstances.</w:t>
      </w:r>
    </w:p>
    <w:p>
      <w:pPr>
        <w:spacing w:after="0" w:line="204" w:lineRule="exact"/>
        <w:rPr>
          <w:rFonts w:ascii="Times New Roman" w:cs="Times New Roman" w:eastAsia="Times New Roman" w:hAnsi="Times New Roman"/>
          <w:sz w:val="18"/>
          <w:szCs w:val="18"/>
          <w:color w:val="auto"/>
        </w:rPr>
      </w:pPr>
    </w:p>
    <w:p>
      <w:pPr>
        <w:ind w:firstLine="8"/>
        <w:spacing w:after="0" w:line="255" w:lineRule="auto"/>
        <w:tabs>
          <w:tab w:leader="none" w:pos="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Agreement” </w:t>
      </w:r>
      <w:r>
        <w:rPr>
          <w:rFonts w:ascii="Times New Roman" w:cs="Times New Roman" w:eastAsia="Times New Roman" w:hAnsi="Times New Roman"/>
          <w:sz w:val="18"/>
          <w:szCs w:val="18"/>
          <w:color w:val="auto"/>
        </w:rPr>
        <w:t>shall mean an employment agreement or service contract agreement entered into between the Company and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their employment with the Company, as such terms are in effect at the time of the adoption of this Plan.</w:t>
      </w:r>
    </w:p>
    <w:p>
      <w:pPr>
        <w:spacing w:after="0" w:line="194"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Plan” </w:t>
      </w:r>
      <w:r>
        <w:rPr>
          <w:rFonts w:ascii="Times New Roman" w:cs="Times New Roman" w:eastAsia="Times New Roman" w:hAnsi="Times New Roman"/>
          <w:sz w:val="18"/>
          <w:szCs w:val="18"/>
          <w:color w:val="auto"/>
        </w:rPr>
        <w:t>shall mean the Progyny, Inc. 2019 Equity Incentive Plan or any successor equity incentive plan, as may be amended from time to time.</w:t>
      </w:r>
    </w:p>
    <w:p>
      <w:pPr>
        <w:spacing w:after="0" w:line="2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“ERISA” </w:t>
      </w:r>
      <w:r>
        <w:rPr>
          <w:rFonts w:ascii="Times New Roman" w:cs="Times New Roman" w:eastAsia="Times New Roman" w:hAnsi="Times New Roman"/>
          <w:sz w:val="18"/>
          <w:szCs w:val="18"/>
          <w:color w:val="auto"/>
        </w:rPr>
        <w:t>shall mean the Employee Retirement Income Security Act of 1974, as amended, and the regulations promulgated thereunder.</w:t>
      </w:r>
    </w:p>
    <w:p>
      <w:pPr>
        <w:spacing w:after="0" w:line="238" w:lineRule="exact"/>
        <w:rPr>
          <w:rFonts w:ascii="Times New Roman" w:cs="Times New Roman" w:eastAsia="Times New Roman" w:hAnsi="Times New Roman"/>
          <w:sz w:val="18"/>
          <w:szCs w:val="18"/>
          <w:color w:val="auto"/>
        </w:rPr>
      </w:pPr>
    </w:p>
    <w:p>
      <w:pPr>
        <w:jc w:val="both"/>
        <w:ind w:firstLine="8"/>
        <w:spacing w:after="0" w:line="237" w:lineRule="auto"/>
        <w:tabs>
          <w:tab w:leader="none" w:pos="2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“Good Reason” </w:t>
      </w:r>
      <w:r>
        <w:rPr>
          <w:rFonts w:ascii="Times New Roman" w:cs="Times New Roman" w:eastAsia="Times New Roman" w:hAnsi="Times New Roman"/>
          <w:sz w:val="18"/>
          <w:szCs w:val="18"/>
          <w:color w:val="auto"/>
        </w:rPr>
        <w:t>shall mean the occurrence of any of the following without the Participant’s prior written consent: (i) a material reduction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then-current annual base salary; except for a reduction (not to exceed 10%) that is part of a proportional reduction of the base salaries of all Company executives; (ii) relocation of the Participant’s principal place of employment to a place that increases the Participant’s one-way commute by more than thirty (30) miles compared to the Participant’s then-current principal place of employment immediately prior to such relocation; or (iii) a material and adverse change in the Participant’s duties and responsibilities (it being agreed that a change in duties and responsibilities following a Change of Control that is inherent in the Company becoming a part of a larger business organization shall not constitute a material adverse change); provided, however, that a resignation by the Participant shall not be considered to be for a “Good Reason” unless (1) the Participant provides written notice to the Board of the occurrence of the event that the Participant contends constitutes Good Reason within thirty (30) days after the date such event occurs, which notice states the Participant’s intention to resign for a “Good Reason” as a result thereof; (2) the Company does not effect a cure with respect to such event within thirty (30) days after receipt of such written notice; and (3) the Participant thereafter resigns and ceases to perform services as an employee of the Company within ten (10) days after the expiration of the Company’s cure period.</w:t>
      </w:r>
    </w:p>
    <w:p>
      <w:pPr>
        <w:spacing w:after="0" w:line="208" w:lineRule="exact"/>
        <w:rPr>
          <w:rFonts w:ascii="Times New Roman" w:cs="Times New Roman" w:eastAsia="Times New Roman" w:hAnsi="Times New Roman"/>
          <w:sz w:val="18"/>
          <w:szCs w:val="18"/>
          <w:color w:val="auto"/>
        </w:rPr>
      </w:pPr>
    </w:p>
    <w:p>
      <w:pPr>
        <w:ind w:firstLine="8"/>
        <w:spacing w:after="0" w:line="271" w:lineRule="auto"/>
        <w:tabs>
          <w:tab w:leader="none" w:pos="3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“Participant” </w:t>
      </w:r>
      <w:r>
        <w:rPr>
          <w:rFonts w:ascii="Times New Roman" w:cs="Times New Roman" w:eastAsia="Times New Roman" w:hAnsi="Times New Roman"/>
          <w:sz w:val="18"/>
          <w:szCs w:val="18"/>
          <w:color w:val="auto"/>
        </w:rPr>
        <w:t>shall mean each Company employee (i) with a title of Executive Vice President or higher, (ii) who is in one of the positions specified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or (iii) who is selected by the Committee to participate in the Plan.</w:t>
      </w:r>
    </w:p>
    <w:p>
      <w:pPr>
        <w:spacing w:after="0" w:line="180" w:lineRule="exact"/>
        <w:rPr>
          <w:rFonts w:ascii="Times New Roman" w:cs="Times New Roman" w:eastAsia="Times New Roman" w:hAnsi="Times New Roman"/>
          <w:sz w:val="18"/>
          <w:szCs w:val="18"/>
          <w:color w:val="auto"/>
        </w:rPr>
      </w:pPr>
    </w:p>
    <w:p>
      <w:pPr>
        <w:ind w:firstLine="8"/>
        <w:spacing w:after="0" w:line="224"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“Payment Date” </w:t>
      </w:r>
      <w:r>
        <w:rPr>
          <w:rFonts w:ascii="Times New Roman" w:cs="Times New Roman" w:eastAsia="Times New Roman" w:hAnsi="Times New Roman"/>
          <w:sz w:val="18"/>
          <w:szCs w:val="18"/>
          <w:color w:val="auto"/>
        </w:rPr>
        <w:t>shall mean the first regularly scheduled payroll date that occurs on or after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following the effective date of the Qualifying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w:t>
      </w:r>
    </w:p>
    <w:p>
      <w:pPr>
        <w:spacing w:after="0" w:line="207" w:lineRule="exact"/>
        <w:rPr>
          <w:rFonts w:ascii="Times New Roman" w:cs="Times New Roman" w:eastAsia="Times New Roman" w:hAnsi="Times New Roman"/>
          <w:sz w:val="18"/>
          <w:szCs w:val="18"/>
          <w:color w:val="auto"/>
        </w:rPr>
      </w:pPr>
    </w:p>
    <w:p>
      <w:pPr>
        <w:ind w:firstLine="8"/>
        <w:spacing w:after="0" w:line="271" w:lineRule="auto"/>
        <w:tabs>
          <w:tab w:leader="none" w:pos="2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“Protection Period” </w:t>
      </w:r>
      <w:r>
        <w:rPr>
          <w:rFonts w:ascii="Times New Roman" w:cs="Times New Roman" w:eastAsia="Times New Roman" w:hAnsi="Times New Roman"/>
          <w:sz w:val="18"/>
          <w:szCs w:val="18"/>
          <w:color w:val="auto"/>
        </w:rPr>
        <w:t>shall mean the period commencing one month before the consummation of a Change of Control and ending on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anniversary of such Change of Control.</w:t>
      </w:r>
    </w:p>
    <w:p>
      <w:pPr>
        <w:spacing w:after="0" w:line="180" w:lineRule="exact"/>
        <w:rPr>
          <w:rFonts w:ascii="Times New Roman" w:cs="Times New Roman" w:eastAsia="Times New Roman" w:hAnsi="Times New Roman"/>
          <w:sz w:val="18"/>
          <w:szCs w:val="18"/>
          <w:color w:val="auto"/>
        </w:rPr>
      </w:pPr>
    </w:p>
    <w:p>
      <w:pPr>
        <w:ind w:right="20" w:firstLine="8"/>
        <w:spacing w:after="0" w:line="271" w:lineRule="auto"/>
        <w:tabs>
          <w:tab w:leader="none" w:pos="2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“Qualifying Termination” </w:t>
      </w:r>
      <w:r>
        <w:rPr>
          <w:rFonts w:ascii="Times New Roman" w:cs="Times New Roman" w:eastAsia="Times New Roman" w:hAnsi="Times New Roman"/>
          <w:sz w:val="18"/>
          <w:szCs w:val="18"/>
          <w:color w:val="auto"/>
        </w:rPr>
        <w:t>shall mean a termination of the Participant’s employment by the Company without Cause, and not by reason of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or a resignation by the Participant for Good Reason, in each case, after the completion of one year of Continuous Service with the Company.</w:t>
      </w:r>
    </w:p>
    <w:p>
      <w:pPr>
        <w:spacing w:after="0" w:line="18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shall mean Section 409A of the Code and the Department of Treasury rules and regulations issued thereunder.</w:t>
      </w:r>
    </w:p>
    <w:p>
      <w:pPr>
        <w:spacing w:after="0" w:line="238" w:lineRule="exact"/>
        <w:rPr>
          <w:rFonts w:ascii="Times New Roman" w:cs="Times New Roman" w:eastAsia="Times New Roman" w:hAnsi="Times New Roman"/>
          <w:sz w:val="18"/>
          <w:szCs w:val="18"/>
          <w:color w:val="auto"/>
        </w:rPr>
      </w:pPr>
    </w:p>
    <w:p>
      <w:pPr>
        <w:ind w:right="20" w:firstLine="8"/>
        <w:spacing w:after="0" w:line="271" w:lineRule="auto"/>
        <w:tabs>
          <w:tab w:leader="none" w:pos="2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“Specified Employee” </w:t>
      </w:r>
      <w:r>
        <w:rPr>
          <w:rFonts w:ascii="Times New Roman" w:cs="Times New Roman" w:eastAsia="Times New Roman" w:hAnsi="Times New Roman"/>
          <w:sz w:val="18"/>
          <w:szCs w:val="18"/>
          <w:color w:val="auto"/>
        </w:rPr>
        <w:t>shall mean a person who is, as of the date of the person’s termination of employment, a “specified employee”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of Section 409A, taking into account the elections made and procedures established by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color w:val="auto"/>
        </w:rPr>
        <w:t>. Wherever appropriate herein, a word used in the singular shall be considered to include the plural and the plural to include the singular.</w:t>
      </w:r>
    </w:p>
    <w:p>
      <w:pPr>
        <w:sectPr>
          <w:pgSz w:w="11900" w:h="16838" w:orient="portrait"/>
          <w:cols w:equalWidth="0" w:num="1">
            <w:col w:w="11240"/>
          </w:cols>
          <w:pgMar w:left="320" w:top="1400" w:right="339" w:bottom="1440" w:gutter="0" w:footer="0" w:header="0"/>
        </w:sectPr>
      </w:pPr>
    </w:p>
    <w:bookmarkStart w:id="70" w:name="page71"/>
    <w:bookmarkEnd w:id="70"/>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Articles and Sections herein are included solely for convenience and if there is any conflict between such headings and the text of this Plan, the text shall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SEVERANCE BENEFITS</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Payments and Benefits upon a Qualifying Termination (Unrelated to a Change of Control)</w:t>
      </w:r>
      <w:r>
        <w:rPr>
          <w:rFonts w:ascii="Times New Roman" w:cs="Times New Roman" w:eastAsia="Times New Roman" w:hAnsi="Times New Roman"/>
          <w:sz w:val="18"/>
          <w:szCs w:val="18"/>
          <w:color w:val="auto"/>
        </w:rPr>
        <w:t>. Subject to the further provisions of this Article III and the Participant’s continued compliance with their obligations under Article IV hereof, upon a Participant’s Qualifying Termination that does not occur within the Protection Period:</w:t>
      </w:r>
    </w:p>
    <w:p>
      <w:pPr>
        <w:spacing w:after="0" w:line="203" w:lineRule="exact"/>
        <w:rPr>
          <w:sz w:val="20"/>
          <w:szCs w:val="20"/>
          <w:color w:val="auto"/>
        </w:rPr>
      </w:pPr>
    </w:p>
    <w:p>
      <w:pPr>
        <w:jc w:val="both"/>
        <w:ind w:firstLine="8"/>
        <w:spacing w:after="0"/>
        <w:tabs>
          <w:tab w:leader="none" w:pos="2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pay or provide to the Participant the Participant’s unpaid base salary through the date of termination, any unreimbursed business expenses, and any amount arising from the Participant’s participation in, or benefits under, any employee benefit plans, programs or arrangements, which amounts shall be payable in accordance with the requirements of applicable law and the terms and conditions of such employee benefit plans, programs or arrangements (collectively, the </w:t>
      </w:r>
      <w:r>
        <w:rPr>
          <w:rFonts w:ascii="Times New Roman" w:cs="Times New Roman" w:eastAsia="Times New Roman" w:hAnsi="Times New Roman"/>
          <w:sz w:val="18"/>
          <w:szCs w:val="18"/>
          <w:b w:val="1"/>
          <w:bCs w:val="1"/>
          <w:color w:val="auto"/>
        </w:rPr>
        <w:t>“Accrued Benefits”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firstLine="8"/>
        <w:spacing w:after="0" w:line="250" w:lineRule="auto"/>
        <w:tabs>
          <w:tab w:leader="none" w:pos="2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continue to pay to the Participant their base salary, as in effect immediately prior to the Qualifying Termination (or immediately prior to any event constituting Good Reason, if applicable), for twelve (12) months following such Qualifying Termination, which amount shall be payable in accordance with Section 5.9 and the normal payroll practices of the Company;</w:t>
      </w:r>
    </w:p>
    <w:p>
      <w:pPr>
        <w:spacing w:after="0" w:line="203" w:lineRule="exact"/>
        <w:rPr>
          <w:rFonts w:ascii="Times New Roman" w:cs="Times New Roman" w:eastAsia="Times New Roman" w:hAnsi="Times New Roman"/>
          <w:sz w:val="18"/>
          <w:szCs w:val="18"/>
          <w:color w:val="auto"/>
        </w:rPr>
      </w:pPr>
    </w:p>
    <w:p>
      <w:pPr>
        <w:jc w:val="both"/>
        <w:ind w:firstLine="8"/>
        <w:spacing w:after="0" w:line="250" w:lineRule="auto"/>
        <w:tabs>
          <w:tab w:leader="none" w:pos="2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Participant an amount in cash equal to the Participant’s target annual bonus for the year that includes the date of termination pro-rated to reflect the number of days that the Participant was employed by the Company and its subsidiaries during such calendar year, and which shall be payable on the Payment Date;</w:t>
      </w:r>
    </w:p>
    <w:p>
      <w:pPr>
        <w:spacing w:after="0" w:line="203" w:lineRule="exact"/>
        <w:rPr>
          <w:rFonts w:ascii="Times New Roman" w:cs="Times New Roman" w:eastAsia="Times New Roman" w:hAnsi="Times New Roman"/>
          <w:sz w:val="18"/>
          <w:szCs w:val="18"/>
          <w:color w:val="auto"/>
        </w:rPr>
      </w:pPr>
    </w:p>
    <w:p>
      <w:pPr>
        <w:jc w:val="both"/>
        <w:ind w:firstLine="8"/>
        <w:spacing w:after="0" w:line="237" w:lineRule="auto"/>
        <w:tabs>
          <w:tab w:leader="none" w:pos="2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portion, if any, of the 12-month period commencing on the date of termination that the Participant properly elects continuation coverage for Participant and/or Participant’s eligible dependents under the Company’s or a subsidiary’s group health plans under the Consolidated Omnibus Budget Reconciliation Act of 1985, as amended (“COBRA”), the Company shall promptly reimburse the Participant on a monthly basis for the cost of such coverage.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the Participant, on the first day of each calendar month, a fully taxable cash payment equal to the applicable COBRA premiums for that month (including premiums for Participant and/or Participant’s eligible dependents who have elected and remain enrolled in such COBRA coverage), subject to applicable tax withholdings, for such 12-month period.</w:t>
      </w:r>
    </w:p>
    <w:p>
      <w:pPr>
        <w:spacing w:after="0" w:line="214" w:lineRule="exact"/>
        <w:rPr>
          <w:rFonts w:ascii="Times New Roman" w:cs="Times New Roman" w:eastAsia="Times New Roman" w:hAnsi="Times New Roman"/>
          <w:sz w:val="18"/>
          <w:szCs w:val="18"/>
          <w:color w:val="auto"/>
        </w:rPr>
      </w:pPr>
    </w:p>
    <w:p>
      <w:pPr>
        <w:ind w:right="20" w:firstLine="8"/>
        <w:spacing w:after="0" w:line="266" w:lineRule="auto"/>
        <w:tabs>
          <w:tab w:leader="none" w:pos="2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the vesting and exercisability (as applicable) of any outstanding unvested time-based equity awards held by the Participant to the extent such awards were scheduled to vest during the 12-month period immediately following the Qualifying Termination date; and</w:t>
      </w:r>
    </w:p>
    <w:p>
      <w:pPr>
        <w:spacing w:after="0" w:line="189" w:lineRule="exact"/>
        <w:rPr>
          <w:rFonts w:ascii="Times New Roman" w:cs="Times New Roman" w:eastAsia="Times New Roman" w:hAnsi="Times New Roman"/>
          <w:sz w:val="18"/>
          <w:szCs w:val="18"/>
          <w:color w:val="auto"/>
        </w:rPr>
      </w:pPr>
    </w:p>
    <w:p>
      <w:pPr>
        <w:ind w:firstLine="8"/>
        <w:spacing w:after="0" w:line="266" w:lineRule="auto"/>
        <w:tabs>
          <w:tab w:leader="none" w:pos="2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any outstanding performance-based equity awards held by the Participant shall 100% vest as of the Qualifying Termination date, unless otherwise provided in the applicable award agreement governing the terms of such performance-based equity award.</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Severance Benefits upon a Qualifying Termination (Related to a Change of Control)</w:t>
      </w:r>
      <w:r>
        <w:rPr>
          <w:rFonts w:ascii="Times New Roman" w:cs="Times New Roman" w:eastAsia="Times New Roman" w:hAnsi="Times New Roman"/>
          <w:sz w:val="18"/>
          <w:szCs w:val="18"/>
          <w:color w:val="auto"/>
        </w:rPr>
        <w:t>. Subject to the further provisions of this Article III, upon a Participant’s Qualifying Termination that occurs within the Protection Period, the Participant shall receive all of the payments and benefits described in Section 3.1 above, except that the following payments shall be substituted for their respective counterparts in Sections 3.1(b), 3.1(e), and 3.1(f):</w:t>
      </w:r>
    </w:p>
    <w:p>
      <w:pPr>
        <w:spacing w:after="0" w:line="203" w:lineRule="exact"/>
        <w:rPr>
          <w:sz w:val="20"/>
          <w:szCs w:val="20"/>
          <w:color w:val="auto"/>
        </w:rPr>
      </w:pPr>
    </w:p>
    <w:p>
      <w:pPr>
        <w:jc w:val="both"/>
        <w:ind w:firstLine="8"/>
        <w:spacing w:after="0" w:line="242" w:lineRule="auto"/>
        <w:tabs>
          <w:tab w:leader="none" w:pos="2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any payment under Section 3.1(b), the Company shall pay to the Participant in a single lump sum on the Payment Date an amount in cash equal to the Participant’s annual base salary as in effect immediately prior to the Qualifying Termination date (or immediately prior to any event constituting Good Reason, if applicable);</w:t>
      </w:r>
    </w:p>
    <w:p>
      <w:pPr>
        <w:spacing w:after="0" w:line="210"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vesting acceleration under Section 3.1(e), each outstanding unvested time-based equity award held by the Participant shall vest in full as of the Qualifying Termination date; and</w:t>
      </w:r>
    </w:p>
    <w:p>
      <w:pPr>
        <w:spacing w:after="0" w:line="189" w:lineRule="exact"/>
        <w:rPr>
          <w:rFonts w:ascii="Times New Roman" w:cs="Times New Roman" w:eastAsia="Times New Roman" w:hAnsi="Times New Roman"/>
          <w:sz w:val="18"/>
          <w:szCs w:val="18"/>
          <w:color w:val="auto"/>
        </w:rPr>
      </w:pPr>
    </w:p>
    <w:p>
      <w:pPr>
        <w:jc w:val="both"/>
        <w:ind w:firstLine="8"/>
        <w:spacing w:after="0" w:line="250" w:lineRule="auto"/>
        <w:tabs>
          <w:tab w:leader="none" w:pos="2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vesting acceleration under Section 3.1(f), each outstanding unvested performance-based equity award held by the Participant shall vest in full as of the Qualifying Termination date at the greater of (1) the target level of achievement of any applicable performance conditions or (2) the actual level of achievement of any applicable</w:t>
      </w:r>
    </w:p>
    <w:p>
      <w:pPr>
        <w:sectPr>
          <w:pgSz w:w="11900" w:h="16838" w:orient="portrait"/>
          <w:cols w:equalWidth="0" w:num="1">
            <w:col w:w="11240"/>
          </w:cols>
          <w:pgMar w:left="320" w:top="1400" w:right="339" w:bottom="1440" w:gutter="0" w:footer="0" w:header="0"/>
        </w:sectPr>
      </w:pPr>
    </w:p>
    <w:bookmarkStart w:id="71" w:name="page72"/>
    <w:bookmarkEnd w:id="71"/>
    <w:p>
      <w:pPr>
        <w:spacing w:after="0" w:line="266" w:lineRule="auto"/>
        <w:rPr>
          <w:sz w:val="20"/>
          <w:szCs w:val="20"/>
          <w:color w:val="auto"/>
        </w:rPr>
      </w:pPr>
      <w:r>
        <w:rPr>
          <w:rFonts w:ascii="Times New Roman" w:cs="Times New Roman" w:eastAsia="Times New Roman" w:hAnsi="Times New Roman"/>
          <w:sz w:val="18"/>
          <w:szCs w:val="18"/>
          <w:color w:val="auto"/>
        </w:rPr>
        <w:t>performance conditions as of the Qualifying Termination date, unless otherwise provided in the applicable award agreement governing the terms of such performance-based equity award.</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Payments upon a Termination of Employment Due to Death or Disability</w:t>
      </w:r>
      <w:r>
        <w:rPr>
          <w:rFonts w:ascii="Times New Roman" w:cs="Times New Roman" w:eastAsia="Times New Roman" w:hAnsi="Times New Roman"/>
          <w:sz w:val="18"/>
          <w:szCs w:val="18"/>
          <w:color w:val="auto"/>
        </w:rPr>
        <w:t>. Subject to the further provisions of this Article III, upon a Participant’s termination of employment with the Company due to death or Disability:</w:t>
      </w:r>
    </w:p>
    <w:p>
      <w:pPr>
        <w:spacing w:after="0" w:line="185"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or provide to the Participant or their personal representative or estate, the Accrued Benefits;</w:t>
      </w:r>
    </w:p>
    <w:p>
      <w:pPr>
        <w:spacing w:after="0" w:line="2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unvested time-based equity award held by the Participant shall vest in full as of the date of termination; and</w:t>
      </w:r>
    </w:p>
    <w:p>
      <w:pPr>
        <w:spacing w:after="0" w:line="238" w:lineRule="exact"/>
        <w:rPr>
          <w:rFonts w:ascii="Times New Roman" w:cs="Times New Roman" w:eastAsia="Times New Roman" w:hAnsi="Times New Roman"/>
          <w:sz w:val="18"/>
          <w:szCs w:val="18"/>
          <w:color w:val="auto"/>
        </w:rPr>
      </w:pPr>
    </w:p>
    <w:p>
      <w:pPr>
        <w:ind w:firstLine="8"/>
        <w:spacing w:after="0" w:line="250" w:lineRule="auto"/>
        <w:tabs>
          <w:tab w:leader="none" w:pos="2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unvested performance-based equity award held by the Participant shall be treated in accordance with the Equity Plan or applicable award agreement governing the terms of such performance-based equity award.</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Release and Full Settlement; Repayment Obligations</w:t>
      </w:r>
      <w:r>
        <w:rPr>
          <w:rFonts w:ascii="Times New Roman" w:cs="Times New Roman" w:eastAsia="Times New Roman" w:hAnsi="Times New Roman"/>
          <w:sz w:val="18"/>
          <w:szCs w:val="18"/>
          <w:color w:val="auto"/>
        </w:rPr>
        <w:t>. Notwithstanding any provision of this Plan to the contrary, the payment of any amounts or provision of any benefits under Sections 3.1(b) through (f), 3.2(a) through 3.2(c), 3.3(b) and 3.3(c) hereof (collectively, the “</w:t>
      </w:r>
      <w:r>
        <w:rPr>
          <w:rFonts w:ascii="Times New Roman" w:cs="Times New Roman" w:eastAsia="Times New Roman" w:hAnsi="Times New Roman"/>
          <w:sz w:val="18"/>
          <w:szCs w:val="18"/>
          <w:b w:val="1"/>
          <w:bCs w:val="1"/>
          <w:color w:val="auto"/>
        </w:rPr>
        <w:t>Severance Benefits</w:t>
      </w:r>
      <w:r>
        <w:rPr>
          <w:rFonts w:ascii="Times New Roman" w:cs="Times New Roman" w:eastAsia="Times New Roman" w:hAnsi="Times New Roman"/>
          <w:sz w:val="18"/>
          <w:szCs w:val="18"/>
          <w:color w:val="auto"/>
        </w:rPr>
        <w:t>”) shall be subject to the Participant’s (or, if applicable, their personal representative’s or estate’s) execution, within forty-five (45) days following receipt (or such shorter period as set forth in such release), of a waiver and general release of claims in the form provided by the Company, and such waiver and general release of claims becoming effective and irrevocable in accordance with its terms within sixty (60) days following the date of termination. Furthermore, the payment of any amounts or provision of any benefits under Sections 3.1(b) through (f) and 3.2(a) through (c) hereof shall be subject to the Participant’s continued compliance with their obligations under Article IV hereof, and, in the event of any breach of such obligations by the Participant, the Participant agrees to promptly repay the Company the gross amount or value of any payments or benefits provided under Sections 3.1(b) through (f) and 3.2(a) through (c). The Company shall be entitled to recover any costs or attorneys’ fees arising out of or in connection with any breach by the Participant or enforcement action relating to Participant’s obligations under Article IV hereof.</w:t>
      </w:r>
    </w:p>
    <w:p>
      <w:pPr>
        <w:spacing w:after="0" w:line="2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u w:val="single" w:color="auto"/>
          <w:color w:val="auto"/>
        </w:rPr>
        <w:t>Parachute Payments</w:t>
      </w:r>
      <w:r>
        <w:rPr>
          <w:rFonts w:ascii="Times New Roman" w:cs="Times New Roman" w:eastAsia="Times New Roman" w:hAnsi="Times New Roman"/>
          <w:sz w:val="18"/>
          <w:szCs w:val="18"/>
          <w:color w:val="auto"/>
        </w:rPr>
        <w:t>. Notwithstanding anything to the contrary herein, if a Participant is a “disqualified individual” (as defined in Section 280G(c) of the Code), and the Severance Benefits, together with any other payments or benefits that the Participant has the right to receive from the Company, would constitute a “parachute payment” (as defined in Section 280G(b)(2) of the Code), then the Severance Benefits provided hereunder shall be either (a) reduced (but not below zero) so that the present value of such total amounts received by the Participant from the Company will be one dollar ($1.00) less than three times the Participant’s “base amount” (as defined in Section 280G(b)(3) of the Code) and so that no portion of such amounts received by the Participant shall be subject to the excise tax imposed by Section 4999 of the Code, or (b) paid in full, whichever produces the better net after-tax position to the Participant (taking into account any applicable excise tax under Section 4999 of the Code and any applicable income tax). The determination as to whether any such reduction in the amount of the Severance Benefits is necessary shall be made by the Committee in good faith and any such reduction shall be implemented in a manner consistent with the requirements of Section 409A of the Code. If a reduced cash payment is made and through error or otherwise that payment, when aggregated with other payments or benefits from the Company (or its affiliates) used in determining if a “parachute payment” exists, exceeds one dollar ($1.00) less than three times the Participant’s base amount, the Participant shall immediately repay such excess to the Company upon notification that an overpayment has been made. Nothing in this Section 3.5 shall require the Company to be responsible for, or have any liability or obligation with respect to, any Participant’s excise tax liabilities under Section 4999 of the Code.</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u w:val="single" w:color="auto"/>
          <w:color w:val="auto"/>
        </w:rPr>
        <w:t>Coordination with Certain Other Agreements</w:t>
      </w:r>
      <w:r>
        <w:rPr>
          <w:rFonts w:ascii="Times New Roman" w:cs="Times New Roman" w:eastAsia="Times New Roman" w:hAnsi="Times New Roman"/>
          <w:sz w:val="18"/>
          <w:szCs w:val="18"/>
          <w:color w:val="auto"/>
        </w:rPr>
        <w:t>. Participants with Employment Agreements providing for severance benefits will receive the greater of (i) the severance benefits under the terms of such Participant’s Employment Agreement or (ii) the Severance Benefits set forth herein. Unless otherwise approved by the Committee or except as set forth herein, the benefits under and participation in this Plan are intended to supersede and replace the severance and separation benefits that a Participant may be entitled under any other plan, policy, agreement or arrangement. For the avoidance of doubt, nothing in this Plan will entitle any Participant to receive duplicate benefits in connection with any Qualifying Termination.</w:t>
      </w:r>
    </w:p>
    <w:p>
      <w:pPr>
        <w:spacing w:after="0" w:line="2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u w:val="single" w:color="auto"/>
          <w:color w:val="auto"/>
        </w:rPr>
        <w:t>No Mitigation</w:t>
      </w:r>
      <w:r>
        <w:rPr>
          <w:rFonts w:ascii="Times New Roman" w:cs="Times New Roman" w:eastAsia="Times New Roman" w:hAnsi="Times New Roman"/>
          <w:sz w:val="18"/>
          <w:szCs w:val="18"/>
          <w:color w:val="auto"/>
        </w:rPr>
        <w:t>. A Participant shall not be required to mitigate the amount of any payment or benefit provided for in this Article III by seeking other employment or otherwise, nor shall the amount of any payment or benefit</w:t>
      </w:r>
    </w:p>
    <w:p>
      <w:pPr>
        <w:sectPr>
          <w:pgSz w:w="11900" w:h="16838" w:orient="portrait"/>
          <w:cols w:equalWidth="0" w:num="1">
            <w:col w:w="11240"/>
          </w:cols>
          <w:pgMar w:left="320" w:top="140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provided for in this Article III be reduced by any compensation or benefit earned by the Participant as the result of employment by another employer.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RESTRICTIVE COVENANTS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Participant’s right to receive and/or retain Severance Benefits payable under this Plan is conditioned upon and subject to the Participant’s continued compliance with any restrictive covenants (e.g., confidentiality, non-solicitation, non-competition, non-disparagement) contained in any other written agreement between the Participant and the Company and/or its subsidiaries, as in effect on the date of the Participant’s Qualifying Termination.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GENERAL PROVISIONS</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Termination and Amendment</w:t>
      </w:r>
      <w:r>
        <w:rPr>
          <w:rFonts w:ascii="Times New Roman" w:cs="Times New Roman" w:eastAsia="Times New Roman" w:hAnsi="Times New Roman"/>
          <w:sz w:val="18"/>
          <w:szCs w:val="18"/>
          <w:color w:val="auto"/>
        </w:rPr>
        <w:t>. This Plan may be amended from time to time or terminated at the discretion of the Board or the Committee; provided, however, that the Plan may not be terminated or amended during the twelve (12) months immediately following a Change of Control except in the event the payments and benefits provided under the Plan to the Participants are replaced with severance payments and benefits that are more favorable to the Participants or the Plan is amended to increase the severance payments and benefits provided to the Participants under the Plan.</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Funding; Cost of Plan</w:t>
      </w:r>
      <w:r>
        <w:rPr>
          <w:rFonts w:ascii="Times New Roman" w:cs="Times New Roman" w:eastAsia="Times New Roman" w:hAnsi="Times New Roman"/>
          <w:sz w:val="18"/>
          <w:szCs w:val="18"/>
          <w:color w:val="auto"/>
        </w:rPr>
        <w:t>. The payments and benefits provided herein shall be unfunded and shall be provided from the Company’s general assets. No Participant shall have any right to, or interest in, any assets of the Company that may be applied by the Company to the payment of amounts due hereunder.</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Claims Procedure</w:t>
      </w:r>
      <w:r>
        <w:rPr>
          <w:rFonts w:ascii="Times New Roman" w:cs="Times New Roman" w:eastAsia="Times New Roman" w:hAnsi="Times New Roman"/>
          <w:sz w:val="18"/>
          <w:szCs w:val="18"/>
          <w:color w:val="auto"/>
        </w:rPr>
        <w:t xml:space="preserve">. The Committee has adopted procedures for considering claims (which are set forth in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attached hereto), which it may amend or modify from time to time, in its discretion. These procedures shall comply with all applicable legal requirements. These procedures may provide that final and binding arbitration shall be the ultimate means of contesting a denied claim (even if the Committee or its delegates have failed to follow the prescribed procedures with respect to such claim). The right to receive payments and benefits under the Plan is contingent on a Participant using the prescribed claims and arbitration procedures to resolve any claim.</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Nonalienation; Successors</w:t>
      </w:r>
      <w:r>
        <w:rPr>
          <w:rFonts w:ascii="Times New Roman" w:cs="Times New Roman" w:eastAsia="Times New Roman" w:hAnsi="Times New Roman"/>
          <w:sz w:val="18"/>
          <w:szCs w:val="18"/>
          <w:color w:val="auto"/>
        </w:rPr>
        <w:t>. This Plan shall be binding upon the Company and any successor of the Company, by merger, consolidation, acquisition or similar transaction, and shall inure to the benefit of and be enforceable by the Company’s Participants. The Participants shall not have any right to pledge, hypothecate, anticipate or assign benefits or rights under this Plan, except by will or the laws of descent and distribution. A Participant’s rights and interests hereunder shall inure to the benefit of and be enforceable by the Participant’s personal representative.</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No Contract of Employment</w:t>
      </w:r>
      <w:r>
        <w:rPr>
          <w:rFonts w:ascii="Times New Roman" w:cs="Times New Roman" w:eastAsia="Times New Roman" w:hAnsi="Times New Roman"/>
          <w:sz w:val="18"/>
          <w:szCs w:val="18"/>
          <w:color w:val="auto"/>
        </w:rPr>
        <w:t>. The adoption and maintenance of this Plan shall not be deemed to be a contract of employment between the Company and any person or to be consideration for the employment of any person. Nothing herein contained shall be deemed to (a) give any person the right to be retained in the employ of the Company, (b) restrict the right of the Company to discharge any person at any time, (c) give the Company the right to require any person to remain in the employ of the Company, or (d) restrict any person’s right to terminate their employment at any time.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Any benefits or amounts paid or provided pursuant to this Plan shall be subject to all applicable taxes and withholdings.</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Any provision in this Plan that is prohibited or unenforceable in any jurisdiction by reason of applicable law shall, as to such jurisdiction, be ineffective only to the extent of such prohibition or unenforceability without invalidating or affecting the remaining provisions hereof, and any such prohibition or unenforceability in any jurisdiction shall not invalidate or render unenforceable such provision in any other jurisdiction.</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u w:val="single" w:color="auto"/>
          <w:color w:val="auto"/>
        </w:rPr>
        <w:t>Compliance with Section 409A</w:t>
      </w:r>
      <w:r>
        <w:rPr>
          <w:rFonts w:ascii="Times New Roman" w:cs="Times New Roman" w:eastAsia="Times New Roman" w:hAnsi="Times New Roman"/>
          <w:sz w:val="18"/>
          <w:szCs w:val="18"/>
          <w:color w:val="auto"/>
        </w:rPr>
        <w:t>. To the maximum extent permitted by applicable law, amounts payable under this Plan are intended to be exempt from Section 409A or in compliance with the requirements of Section 409A, and this Plan shall be administered accordingly. No amounts payable under this Plan that constitute a “deferral of compensation” within the meaning of Section 409A shall be payable unless the Participant’s termination of employment constitutes a “separation from service” within the meaning of Treas. Reg. § 1.409A-1(h). Each payment under this Plan is intended to be a “separate payment” and not a series of payments for purposes of Section 409A. For purposes of Section 409A, the Participant’s right to receive installment payments pursuant to this Plan shall be</w:t>
      </w:r>
    </w:p>
    <w:p>
      <w:pPr>
        <w:sectPr>
          <w:pgSz w:w="11900" w:h="16838" w:orient="portrait"/>
          <w:cols w:equalWidth="0" w:num="1">
            <w:col w:w="11240"/>
          </w:cols>
          <w:pgMar w:left="320" w:top="1404" w:right="339" w:bottom="1440" w:gutter="0" w:footer="0" w:header="0"/>
        </w:sectPr>
      </w:pPr>
    </w:p>
    <w:bookmarkStart w:id="73" w:name="page74"/>
    <w:bookmarkEnd w:id="73"/>
    <w:p>
      <w:pPr>
        <w:jc w:val="both"/>
        <w:spacing w:after="0" w:line="266" w:lineRule="auto"/>
        <w:rPr>
          <w:sz w:val="20"/>
          <w:szCs w:val="20"/>
          <w:color w:val="auto"/>
        </w:rPr>
      </w:pPr>
      <w:r>
        <w:rPr>
          <w:rFonts w:ascii="Times New Roman" w:cs="Times New Roman" w:eastAsia="Times New Roman" w:hAnsi="Times New Roman"/>
          <w:sz w:val="18"/>
          <w:szCs w:val="18"/>
          <w:color w:val="auto"/>
        </w:rPr>
        <w:t>treated as a right to receive a series of separate and distinct payments. Any payments or reimbursements of any expenses provided for under this Plan shall be made in accordance with Treas. Reg. § 1.409A-3(i)(1)(iv).</w:t>
      </w:r>
    </w:p>
    <w:p>
      <w:pPr>
        <w:spacing w:after="0" w:line="18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Six-Month Payment Delay</w:t>
      </w:r>
      <w:r>
        <w:rPr>
          <w:rFonts w:ascii="Times New Roman" w:cs="Times New Roman" w:eastAsia="Times New Roman" w:hAnsi="Times New Roman"/>
          <w:sz w:val="18"/>
          <w:szCs w:val="18"/>
          <w:color w:val="auto"/>
        </w:rPr>
        <w:t>. Except as set forth in the following sentence, any payments pursuant to Sections 3.1(b) through (f), 3.2(a) through 3.2(c), and 3.3(b) and 3.3(c) hereof that would otherwise be payable in the first sixty (60) days following the date of termination shall be withheld and become payable in a lump sum on the Payment Date. However, if the Participant is a Specified Employee, any payments hereunder that constitute a “deferral of compensation” within the meaning of Section 409A and to which the Participant would otherwise be entitled to receive during the first six (6) months following the date of termination shall be accumulated and paid to the Participant on the date that is six months following the date of termination (or if earlier, to the Participant’s estate or personal representative upon the Participant’s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-659130</wp:posOffset>
            </wp:positionV>
            <wp:extent cx="13252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Plan is intended to be an unfunded “top hat” plan within the meaning of U.S. Department of Labor Regulation Section 2520.104-23 and shall be interpreted, administered, and enforced as such in accordance with ERISA. To the extent that state law is applicable, the statutes and common law of the State of New York, excluding any that mandate the use of another jurisdiction’s laws, will apply.</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Clawback Policy</w:t>
      </w:r>
      <w:r>
        <w:rPr>
          <w:rFonts w:ascii="Times New Roman" w:cs="Times New Roman" w:eastAsia="Times New Roman" w:hAnsi="Times New Roman"/>
          <w:sz w:val="18"/>
          <w:szCs w:val="18"/>
          <w:color w:val="auto"/>
        </w:rPr>
        <w:t>. All Severance Benefits provided under the Plan will be subject to recoupment in accordance with the Company’s clawback policy, as may be amended by the Company from time to time.</w:t>
      </w:r>
    </w:p>
    <w:p>
      <w:pPr>
        <w:sectPr>
          <w:pgSz w:w="11900" w:h="16838" w:orient="portrait"/>
          <w:cols w:equalWidth="0" w:num="1">
            <w:col w:w="11240"/>
          </w:cols>
          <w:pgMar w:left="320" w:top="1417" w:right="339" w:bottom="1440" w:gutter="0" w:footer="0" w:header="0"/>
        </w:sectPr>
      </w:pPr>
    </w:p>
    <w:bookmarkStart w:id="74" w:name="page75"/>
    <w:bookmarkEnd w:id="74"/>
    <w:p>
      <w:pPr>
        <w:jc w:val="right"/>
        <w:ind w:right="40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Medical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Operations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Human Resources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Marketing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Technology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Business Development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Emerging Technology</w:t>
      </w:r>
    </w:p>
    <w:p>
      <w:pPr>
        <w:sectPr>
          <w:pgSz w:w="11900" w:h="16838" w:orient="portrait"/>
          <w:cols w:equalWidth="0" w:num="1">
            <w:col w:w="10119"/>
          </w:cols>
          <w:pgMar w:left="340" w:top="1400"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3D3D3D"/>
        </w:rPr>
        <w:t>EXHIBIT B</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DETAILED CLAIMS PROCEDURES</w:t>
      </w:r>
    </w:p>
    <w:p>
      <w:pPr>
        <w:spacing w:after="0" w:line="239" w:lineRule="exact"/>
        <w:rPr>
          <w:sz w:val="20"/>
          <w:szCs w:val="20"/>
          <w:color w:val="auto"/>
        </w:rPr>
      </w:pPr>
    </w:p>
    <w:p>
      <w:pPr>
        <w:ind w:firstLine="8"/>
        <w:spacing w:after="0" w:line="271" w:lineRule="auto"/>
        <w:tabs>
          <w:tab w:leader="none" w:pos="64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Initial Claims. </w:t>
      </w:r>
      <w:r>
        <w:rPr>
          <w:rFonts w:ascii="Times New Roman" w:cs="Times New Roman" w:eastAsia="Times New Roman" w:hAnsi="Times New Roman"/>
          <w:sz w:val="18"/>
          <w:szCs w:val="18"/>
          <w:color w:val="auto"/>
        </w:rPr>
        <w:t>A Participant who believes that they are eligible for a payment under the Plan that has not been received may submit a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for benefits to the Plan within sixty (60) days after the Participant’s Qualifying Termination. Claims should be addressed and sent 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PROGYNY, INC.</w:t>
      </w:r>
    </w:p>
    <w:p>
      <w:pPr>
        <w:ind w:left="660"/>
        <w:spacing w:after="0"/>
        <w:rPr>
          <w:sz w:val="20"/>
          <w:szCs w:val="20"/>
          <w:color w:val="auto"/>
        </w:rPr>
      </w:pPr>
      <w:r>
        <w:rPr>
          <w:rFonts w:ascii="Times New Roman" w:cs="Times New Roman" w:eastAsia="Times New Roman" w:hAnsi="Times New Roman"/>
          <w:sz w:val="18"/>
          <w:szCs w:val="18"/>
          <w:color w:val="auto"/>
        </w:rPr>
        <w:t>ATTN: Cassandra Pratt</w:t>
      </w:r>
    </w:p>
    <w:p>
      <w:pPr>
        <w:ind w:left="660"/>
        <w:spacing w:after="0" w:line="181" w:lineRule="auto"/>
        <w:rPr>
          <w:sz w:val="20"/>
          <w:szCs w:val="20"/>
          <w:color w:val="auto"/>
        </w:rPr>
      </w:pPr>
      <w:r>
        <w:rPr>
          <w:rFonts w:ascii="Times New Roman" w:cs="Times New Roman" w:eastAsia="Times New Roman" w:hAnsi="Times New Roman"/>
          <w:sz w:val="18"/>
          <w:szCs w:val="18"/>
          <w:color w:val="auto"/>
        </w:rPr>
        <w:t>1359 Broadway,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21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If the Participant’s claim is denied, in whole or in part, the Participant will be furnished with written notice of the denial within ninety (90) days after the Committee’s receipt of the Participant’s written claim (45 days if the claim relates to a Plan determination of Disability (a </w:t>
      </w:r>
      <w:r>
        <w:rPr>
          <w:rFonts w:ascii="Times New Roman" w:cs="Times New Roman" w:eastAsia="Times New Roman" w:hAnsi="Times New Roman"/>
          <w:sz w:val="18"/>
          <w:szCs w:val="18"/>
          <w:b w:val="1"/>
          <w:bCs w:val="1"/>
          <w:color w:val="auto"/>
        </w:rPr>
        <w:t>“Disability Claim”</w:t>
      </w:r>
      <w:r>
        <w:rPr>
          <w:rFonts w:ascii="Times New Roman" w:cs="Times New Roman" w:eastAsia="Times New Roman" w:hAnsi="Times New Roman"/>
          <w:sz w:val="18"/>
          <w:szCs w:val="18"/>
          <w:color w:val="auto"/>
        </w:rPr>
        <w:t>)), unless special circumstances require an extension of time for processing the claim, in which case a period not to exceed 180 days will apply (30-day extension for a Disability Claim). If such an extension of time is required, written notice of the extension will be furnished to the Participant before the termination of the initial 90-day period (45-day period for a Disability Claim) and will describe the special circumstances requiring the extension and the date that a decision is expected to be rendered. In the case of a Disability Claim, the Committee may further extend the period for making a determination by up to an additional 30 days if, prior to the end of the first 30-day extension period, the Committee determines that such an additional extension is necessary due to matters beyond the control of the Plan and notifies Participant of the circumstances requiring an extension of time and the date by which the Committee expects to render a decision. Written notice of the denial of the Participant’s claim will contain the following information:</w:t>
      </w:r>
    </w:p>
    <w:p>
      <w:pPr>
        <w:spacing w:after="0" w:line="218" w:lineRule="exact"/>
        <w:rPr>
          <w:sz w:val="20"/>
          <w:szCs w:val="20"/>
          <w:color w:val="auto"/>
        </w:rPr>
      </w:pPr>
    </w:p>
    <w:p>
      <w:pPr>
        <w:ind w:left="900" w:hanging="244"/>
        <w:spacing w:after="0"/>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the denial of the Participant’s claim;</w:t>
      </w:r>
    </w:p>
    <w:p>
      <w:pPr>
        <w:spacing w:after="0" w:line="15" w:lineRule="exact"/>
        <w:rPr>
          <w:rFonts w:ascii="Times New Roman" w:cs="Times New Roman" w:eastAsia="Times New Roman" w:hAnsi="Times New Roman"/>
          <w:sz w:val="18"/>
          <w:szCs w:val="18"/>
          <w:color w:val="auto"/>
        </w:rPr>
      </w:pPr>
    </w:p>
    <w:p>
      <w:pPr>
        <w:ind w:left="920" w:hanging="264"/>
        <w:spacing w:after="0" w:line="234" w:lineRule="auto"/>
        <w:tabs>
          <w:tab w:leader="none" w:pos="9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specific Plan provisions on which the denial of the Participant’s claim was based;</w:t>
      </w:r>
    </w:p>
    <w:p>
      <w:pPr>
        <w:ind w:right="20" w:firstLine="656"/>
        <w:spacing w:after="0" w:line="226" w:lineRule="auto"/>
        <w:tabs>
          <w:tab w:leader="none" w:pos="93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additional information or material required by the Committee to reconsider the Participant’s claim (to the extent applicable) and an explanation of why such information or material is necessary; and</w:t>
      </w:r>
    </w:p>
    <w:p>
      <w:pPr>
        <w:spacing w:after="0" w:line="1" w:lineRule="exact"/>
        <w:rPr>
          <w:rFonts w:ascii="Times New Roman" w:cs="Times New Roman" w:eastAsia="Times New Roman" w:hAnsi="Times New Roman"/>
          <w:sz w:val="18"/>
          <w:szCs w:val="18"/>
          <w:color w:val="auto"/>
        </w:rPr>
      </w:pPr>
    </w:p>
    <w:p>
      <w:pPr>
        <w:ind w:right="20" w:firstLine="656"/>
        <w:spacing w:after="0" w:line="243" w:lineRule="auto"/>
        <w:tabs>
          <w:tab w:leader="none" w:pos="91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Plan’s review procedures and time limits applicable to such procedures, including a statement of the Participant’s right to bring a civil action under Section 502(a) of ERISA following a benefit claim denial on review.</w:t>
      </w:r>
    </w:p>
    <w:p>
      <w:pPr>
        <w:spacing w:after="0" w:line="218" w:lineRule="exact"/>
        <w:rPr>
          <w:rFonts w:ascii="Times New Roman" w:cs="Times New Roman" w:eastAsia="Times New Roman" w:hAnsi="Times New Roman"/>
          <w:sz w:val="18"/>
          <w:szCs w:val="18"/>
          <w:color w:val="auto"/>
        </w:rPr>
      </w:pPr>
    </w:p>
    <w:p>
      <w:pPr>
        <w:ind w:firstLine="8"/>
        <w:spacing w:after="0" w:line="286" w:lineRule="auto"/>
        <w:tabs>
          <w:tab w:leader="none" w:pos="35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Appeal of Denied Claims. </w:t>
      </w:r>
      <w:r>
        <w:rPr>
          <w:rFonts w:ascii="Times New Roman" w:cs="Times New Roman" w:eastAsia="Times New Roman" w:hAnsi="Times New Roman"/>
          <w:sz w:val="18"/>
          <w:szCs w:val="18"/>
          <w:color w:val="auto"/>
        </w:rPr>
        <w:t>If the Participant’s claim is denied and they wish to submit a request for a review of the denied claim, the Participant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authorized representative must follow the procedures described below:</w:t>
      </w:r>
    </w:p>
    <w:p>
      <w:pPr>
        <w:spacing w:after="0" w:line="172" w:lineRule="exact"/>
        <w:rPr>
          <w:rFonts w:ascii="Times New Roman" w:cs="Times New Roman" w:eastAsia="Times New Roman" w:hAnsi="Times New Roman"/>
          <w:sz w:val="18"/>
          <w:szCs w:val="18"/>
          <w:b w:val="1"/>
          <w:bCs w:val="1"/>
          <w:color w:val="auto"/>
        </w:rPr>
      </w:pPr>
    </w:p>
    <w:p>
      <w:pPr>
        <w:jc w:val="both"/>
        <w:ind w:firstLine="656"/>
        <w:spacing w:after="0" w:line="242" w:lineRule="auto"/>
        <w:tabs>
          <w:tab w:leader="none" w:pos="8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the denied claim, the Participant (or their authorized representative) may file a request for review of the claim in writing with the Committee. This request for review must be filed no later than sixty (60) days (180 days in the case of a Disability Claim) after the Participant has received written notification of the denial.</w:t>
      </w:r>
    </w:p>
    <w:p>
      <w:pPr>
        <w:spacing w:after="0" w:line="1" w:lineRule="exact"/>
        <w:rPr>
          <w:rFonts w:ascii="Times New Roman" w:cs="Times New Roman" w:eastAsia="Times New Roman" w:hAnsi="Times New Roman"/>
          <w:sz w:val="18"/>
          <w:szCs w:val="18"/>
          <w:color w:val="auto"/>
        </w:rPr>
      </w:pPr>
    </w:p>
    <w:p>
      <w:pPr>
        <w:ind w:firstLine="656"/>
        <w:spacing w:after="0" w:line="234" w:lineRule="auto"/>
        <w:tabs>
          <w:tab w:leader="none" w:pos="91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the right to submit in writing to the Committee any comments, documents, records or other information relating to their claim for benefits.</w:t>
      </w:r>
    </w:p>
    <w:p>
      <w:pPr>
        <w:spacing w:after="0" w:line="1" w:lineRule="exact"/>
        <w:rPr>
          <w:rFonts w:ascii="Times New Roman" w:cs="Times New Roman" w:eastAsia="Times New Roman" w:hAnsi="Times New Roman"/>
          <w:sz w:val="18"/>
          <w:szCs w:val="18"/>
          <w:color w:val="auto"/>
        </w:rPr>
      </w:pPr>
    </w:p>
    <w:p>
      <w:pPr>
        <w:ind w:right="20" w:firstLine="656"/>
        <w:spacing w:after="0" w:line="234" w:lineRule="auto"/>
        <w:tabs>
          <w:tab w:leader="none" w:pos="8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the right to be provided with, upon request and free of charge, reasonable access to and copies of all pertinent documents, records, and other information that is relevant to their claim for benefits.</w:t>
      </w:r>
    </w:p>
    <w:p>
      <w:pPr>
        <w:spacing w:after="0" w:line="1" w:lineRule="exact"/>
        <w:rPr>
          <w:rFonts w:ascii="Times New Roman" w:cs="Times New Roman" w:eastAsia="Times New Roman" w:hAnsi="Times New Roman"/>
          <w:sz w:val="18"/>
          <w:szCs w:val="18"/>
          <w:color w:val="auto"/>
        </w:rPr>
      </w:pPr>
    </w:p>
    <w:p>
      <w:pPr>
        <w:ind w:firstLine="656"/>
        <w:spacing w:after="0" w:line="243" w:lineRule="auto"/>
        <w:tabs>
          <w:tab w:leader="none" w:pos="91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of the denied claim will take into account all comments, documents, records and other information that the Participant submitted relating to their claim, without regard to whether such information was submitted or considered in the initial denial of their claim.</w:t>
      </w:r>
    </w:p>
    <w:p>
      <w:pPr>
        <w:spacing w:after="0" w:line="204" w:lineRule="exact"/>
        <w:rPr>
          <w:rFonts w:ascii="Times New Roman" w:cs="Times New Roman" w:eastAsia="Times New Roman" w:hAnsi="Times New Roman"/>
          <w:sz w:val="18"/>
          <w:szCs w:val="18"/>
          <w:color w:val="auto"/>
        </w:rPr>
      </w:pPr>
    </w:p>
    <w:p>
      <w:pPr>
        <w:jc w:val="both"/>
        <w:ind w:firstLine="8"/>
        <w:spacing w:after="0" w:line="239" w:lineRule="auto"/>
        <w:tabs>
          <w:tab w:leader="none" w:pos="31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Committee’s Response to Appeal. </w:t>
      </w:r>
      <w:r>
        <w:rPr>
          <w:rFonts w:ascii="Times New Roman" w:cs="Times New Roman" w:eastAsia="Times New Roman" w:hAnsi="Times New Roman"/>
          <w:sz w:val="18"/>
          <w:szCs w:val="18"/>
          <w:color w:val="auto"/>
        </w:rPr>
        <w:t>The Committee will provide the Participant with written notice of its decision within sixty (60) days (45 days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Claim) after the Committee’s receipt of the Participant’s written claim for review. There may be special circumstances that require an extension of this 60-day period. In any such case, the Committee will notify the Participant in writing within the 60-day (45 days for a Disability Claim) period and the final decision will be made no later than 120 days (90 days for a Disability Claim) after the Committee’s receipt of the Participant’s written claim for review. The Committee’s decision on the Participant’s claim for review will be communicated to the Participant in writing and will clearly state:</w:t>
      </w:r>
    </w:p>
    <w:p>
      <w:pPr>
        <w:sectPr>
          <w:pgSz w:w="11900" w:h="16838" w:orient="portrait"/>
          <w:cols w:equalWidth="0" w:num="1">
            <w:col w:w="11240"/>
          </w:cols>
          <w:pgMar w:left="320" w:top="1400" w:right="339" w:bottom="1440" w:gutter="0" w:footer="0" w:header="0"/>
        </w:sectPr>
      </w:pPr>
    </w:p>
    <w:bookmarkStart w:id="76" w:name="page77"/>
    <w:bookmarkEnd w:id="76"/>
    <w:p>
      <w:pPr>
        <w:spacing w:after="0" w:line="207" w:lineRule="exact"/>
        <w:rPr>
          <w:sz w:val="20"/>
          <w:szCs w:val="20"/>
          <w:color w:val="auto"/>
        </w:rPr>
      </w:pPr>
    </w:p>
    <w:p>
      <w:pPr>
        <w:ind w:left="892" w:hanging="244"/>
        <w:spacing w:after="0"/>
        <w:tabs>
          <w:tab w:leader="none" w:pos="89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the denial of the Participant’s claim;</w:t>
      </w:r>
    </w:p>
    <w:p>
      <w:pPr>
        <w:spacing w:after="0" w:line="15" w:lineRule="exact"/>
        <w:rPr>
          <w:rFonts w:ascii="Times New Roman" w:cs="Times New Roman" w:eastAsia="Times New Roman" w:hAnsi="Times New Roman"/>
          <w:sz w:val="18"/>
          <w:szCs w:val="18"/>
          <w:color w:val="auto"/>
        </w:rPr>
      </w:pPr>
    </w:p>
    <w:p>
      <w:pPr>
        <w:ind w:left="912" w:hanging="264"/>
        <w:spacing w:after="0" w:line="234" w:lineRule="auto"/>
        <w:tabs>
          <w:tab w:leader="none" w:pos="9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 specific Plan provisions on which the denial of the Participant’s claim was based;</w:t>
      </w:r>
    </w:p>
    <w:p>
      <w:pPr>
        <w:ind w:left="-8" w:firstLine="656"/>
        <w:spacing w:after="0" w:line="234" w:lineRule="auto"/>
        <w:tabs>
          <w:tab w:leader="none" w:pos="90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Participant is entitled to receive, upon request and free of charge, reasonable access to, and copies of, the Plan and all documents, records, and other information relevant to their claim for benefits; and</w:t>
      </w:r>
    </w:p>
    <w:p>
      <w:pPr>
        <w:spacing w:after="0" w:line="1"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describing the Participant’s right to bring an action under Section 502(a) of ERISA.</w:t>
      </w:r>
    </w:p>
    <w:p>
      <w:pPr>
        <w:spacing w:after="0" w:line="21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Effective for Disability Claims, the following additional rules will apply:</w:t>
      </w:r>
    </w:p>
    <w:p>
      <w:pPr>
        <w:spacing w:after="0" w:line="239" w:lineRule="exact"/>
        <w:rPr>
          <w:sz w:val="20"/>
          <w:szCs w:val="20"/>
          <w:color w:val="auto"/>
        </w:rPr>
      </w:pPr>
    </w:p>
    <w:p>
      <w:pPr>
        <w:jc w:val="both"/>
        <w:ind w:left="-8" w:firstLine="656"/>
        <w:spacing w:after="0"/>
        <w:tabs>
          <w:tab w:leader="none" w:pos="8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Participant of any extension of the 45-day period for initial determination must include the circumstances requiring the extension and the date as of which a decision is expected, with a specific explanation of the standards on which entitlement to a disability benefit are based, the unresolved issues preventing a decision on the Disability Claim and the information needed to resolve those issues, and must give Participant 45 days to provide any information requested.</w:t>
      </w:r>
    </w:p>
    <w:p>
      <w:pPr>
        <w:spacing w:after="0" w:line="211"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information provided with respect to other claims, the notification of denial of a Disability Claim must include the following:</w:t>
      </w:r>
    </w:p>
    <w:p>
      <w:pPr>
        <w:spacing w:after="0" w:line="239" w:lineRule="exact"/>
        <w:rPr>
          <w:sz w:val="20"/>
          <w:szCs w:val="20"/>
          <w:color w:val="auto"/>
        </w:rPr>
      </w:pPr>
    </w:p>
    <w:p>
      <w:pPr>
        <w:jc w:val="both"/>
        <w:ind w:left="-8" w:firstLine="656"/>
        <w:spacing w:after="0"/>
        <w:tabs>
          <w:tab w:leader="none" w:pos="93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decision, including an explanation of the basis for disagreeing with or not following the views presented by Participant to the Plan of health care professionals who are treating the Participant and vocational professionals who have evaluated the Participant; medical or vocational experts whose advice was obtained on behalf of the Plan in connection with the Disability Claim, without regard to whether the advice was relied on in making the determination; and any disability determination made by the Social Security Administration presented to the Plan by Participant.</w:t>
      </w:r>
    </w:p>
    <w:p>
      <w:pPr>
        <w:spacing w:after="0" w:line="2" w:lineRule="exact"/>
        <w:rPr>
          <w:rFonts w:ascii="Times New Roman" w:cs="Times New Roman" w:eastAsia="Times New Roman" w:hAnsi="Times New Roman"/>
          <w:sz w:val="18"/>
          <w:szCs w:val="18"/>
          <w:color w:val="auto"/>
        </w:rPr>
      </w:pPr>
    </w:p>
    <w:p>
      <w:pPr>
        <w:ind w:left="-8" w:firstLine="656"/>
        <w:spacing w:after="0" w:line="234" w:lineRule="auto"/>
        <w:tabs>
          <w:tab w:leader="none" w:pos="9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specific internal rules, guidelines, protocols, standards or other similar criteria of the Plan relied on in making the decision, or a statement that such rules, guidelines, protocols, standards or other similar criteria of the Plan do not exist.</w:t>
      </w:r>
    </w:p>
    <w:p>
      <w:pPr>
        <w:spacing w:after="0" w:line="1" w:lineRule="exact"/>
        <w:rPr>
          <w:rFonts w:ascii="Times New Roman" w:cs="Times New Roman" w:eastAsia="Times New Roman" w:hAnsi="Times New Roman"/>
          <w:sz w:val="18"/>
          <w:szCs w:val="18"/>
          <w:color w:val="auto"/>
        </w:rPr>
      </w:pPr>
    </w:p>
    <w:p>
      <w:pPr>
        <w:ind w:left="-8" w:firstLine="656"/>
        <w:spacing w:after="0" w:line="243" w:lineRule="auto"/>
        <w:tabs>
          <w:tab w:leader="none" w:pos="9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Participant may request, free of charge, reasonable access to and copies of all documents, records and other information relevant to the Disability Claim.</w:t>
      </w:r>
    </w:p>
    <w:p>
      <w:pPr>
        <w:spacing w:after="0" w:line="209" w:lineRule="exact"/>
        <w:rPr>
          <w:sz w:val="20"/>
          <w:szCs w:val="20"/>
          <w:color w:val="auto"/>
        </w:rPr>
      </w:pPr>
    </w:p>
    <w:p>
      <w:pPr>
        <w:jc w:val="both"/>
        <w:ind w:left="-8" w:firstLine="656"/>
        <w:spacing w:after="0" w:line="237" w:lineRule="auto"/>
        <w:tabs>
          <w:tab w:leader="none" w:pos="96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review of any decision denying a Disability Claim must be conducted by an independent and impartial fiduciary not involved in the initial determination. Participant shall be notified in writing no later than 45 days after receipt of a request for a review. This 45-day period may be extended for an additional 45 days if special circumstances require the extension. Before the Plan can issue an adverse determination on appeal, Participant shall be provided, free of charge, with any new or additional evidence considered, relied on or generated by the Committee as Plan administrator or other person making the benefit determination (or at the direction of the Committee or such other person) in connection with the Disability Claim. Such evidence shall be provided to Participant as soon as possible and sufficiently before the deadline for the notice of adverse determination to give Participant a reasonable opportunity to respond. Before the Plan can issue an adverse determination on appeal based on new or additional rationale, Participant shall be provided, free of charge, with such rationale. The rationale will be provided as soon as possible and sufficiently before the deadline for the notice of adverse determination to give Participant a reasonable opportunity to respond.</w:t>
      </w:r>
    </w:p>
    <w:p>
      <w:pPr>
        <w:spacing w:after="0" w:line="212" w:lineRule="exact"/>
        <w:rPr>
          <w:rFonts w:ascii="Times New Roman" w:cs="Times New Roman" w:eastAsia="Times New Roman" w:hAnsi="Times New Roman"/>
          <w:sz w:val="18"/>
          <w:szCs w:val="18"/>
          <w:color w:val="auto"/>
        </w:rPr>
      </w:pPr>
    </w:p>
    <w:p>
      <w:pPr>
        <w:jc w:val="both"/>
        <w:ind w:left="-8" w:firstLine="656"/>
        <w:spacing w:after="0" w:line="237" w:lineRule="auto"/>
        <w:tabs>
          <w:tab w:leader="none" w:pos="94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information provided for all other claims on appeal, the notice of determination of a Disability Claim appeal must include an explanation of the basis for disagreeing with or not following the views presented by Participant of health care professionals treating the Participant and vocational professionals who evaluated the Participant, the views of medical or vocational experts whose advice was obtained on behalf of the Committee (regardless of whether the advice was relied upon), and any disability determination of the Social Security Administration presented by Participant to the Committee. The notice also shall include either the specific internal rules, guidelines, protocols, standards or other similar criteria relied on in making the decision or a statement that no such rules, guidelines, protocols, standards or other similar criteria exist, and a statement informing Participant of their right to bring a civil suit under federal law (and a description of the Plan’s limitation period for doing so, if any).</w:t>
      </w:r>
    </w:p>
    <w:p>
      <w:pPr>
        <w:spacing w:after="0" w:line="212" w:lineRule="exact"/>
        <w:rPr>
          <w:rFonts w:ascii="Times New Roman" w:cs="Times New Roman" w:eastAsia="Times New Roman" w:hAnsi="Times New Roman"/>
          <w:sz w:val="18"/>
          <w:szCs w:val="18"/>
          <w:color w:val="auto"/>
        </w:rPr>
      </w:pPr>
    </w:p>
    <w:p>
      <w:pPr>
        <w:ind w:left="-8" w:firstLine="8"/>
        <w:spacing w:after="0" w:line="271" w:lineRule="auto"/>
        <w:tabs>
          <w:tab w:leader="none" w:pos="30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Exhaustion of Administrative Remedies. </w:t>
      </w:r>
      <w:r>
        <w:rPr>
          <w:rFonts w:ascii="Times New Roman" w:cs="Times New Roman" w:eastAsia="Times New Roman" w:hAnsi="Times New Roman"/>
          <w:sz w:val="18"/>
          <w:szCs w:val="18"/>
          <w:color w:val="auto"/>
        </w:rPr>
        <w:t>The exhaustion of these claims procedures is mandatory for resolving every claim and dispute arising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As to such claims and disputes:</w:t>
      </w:r>
    </w:p>
    <w:p>
      <w:pPr>
        <w:sectPr>
          <w:pgSz w:w="11900" w:h="16838" w:orient="portrait"/>
          <w:cols w:equalWidth="0" w:num="1">
            <w:col w:w="11232"/>
          </w:cols>
          <w:pgMar w:left="328" w:top="1440" w:right="339" w:bottom="1440" w:gutter="0" w:footer="0" w:header="0"/>
        </w:sectPr>
      </w:pPr>
    </w:p>
    <w:bookmarkStart w:id="77" w:name="page78"/>
    <w:bookmarkEnd w:id="77"/>
    <w:p>
      <w:pPr>
        <w:jc w:val="both"/>
        <w:ind w:left="-8" w:firstLine="656"/>
        <w:spacing w:after="0" w:line="242" w:lineRule="auto"/>
        <w:tabs>
          <w:tab w:leader="none" w:pos="88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claimant shall be permitted to commence any legal action to recover benefits or to enforce or clarify rights under the Plan under Section 502 or Section 510 of ERISA or under any other provision of law, whether or not statutory, until these claims procedures have been exhausted in their entirety; and</w:t>
      </w:r>
    </w:p>
    <w:p>
      <w:pPr>
        <w:spacing w:after="0" w:line="1" w:lineRule="exact"/>
        <w:rPr>
          <w:rFonts w:ascii="Times New Roman" w:cs="Times New Roman" w:eastAsia="Times New Roman" w:hAnsi="Times New Roman"/>
          <w:sz w:val="18"/>
          <w:szCs w:val="18"/>
          <w:color w:val="auto"/>
        </w:rPr>
      </w:pPr>
    </w:p>
    <w:p>
      <w:pPr>
        <w:ind w:left="-8" w:firstLine="656"/>
        <w:spacing w:after="0" w:line="243" w:lineRule="auto"/>
        <w:tabs>
          <w:tab w:leader="none" w:pos="90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such legal action, all explicit and implicit determinations by the Committee (including, but not limited to, determinations as to whether the claim, or a request for a review of a denied claim, was timely filed) shall be afforded the maximum deference permitted by law.</w:t>
      </w:r>
    </w:p>
    <w:p>
      <w:pPr>
        <w:spacing w:after="0" w:line="204" w:lineRule="exact"/>
        <w:rPr>
          <w:rFonts w:ascii="Times New Roman" w:cs="Times New Roman" w:eastAsia="Times New Roman" w:hAnsi="Times New Roman"/>
          <w:sz w:val="18"/>
          <w:szCs w:val="18"/>
          <w:color w:val="auto"/>
        </w:rPr>
      </w:pPr>
    </w:p>
    <w:p>
      <w:pPr>
        <w:jc w:val="both"/>
        <w:ind w:left="-8" w:firstLine="8"/>
        <w:spacing w:after="0" w:line="245" w:lineRule="auto"/>
        <w:tabs>
          <w:tab w:leader="none" w:pos="18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Arbitration. </w:t>
      </w:r>
      <w:r>
        <w:rPr>
          <w:rFonts w:ascii="Times New Roman" w:cs="Times New Roman" w:eastAsia="Times New Roman" w:hAnsi="Times New Roman"/>
          <w:sz w:val="18"/>
          <w:szCs w:val="18"/>
          <w:color w:val="auto"/>
        </w:rPr>
        <w:t>Subject to Section 4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any dispute, controversy or claim arising out of or related to the Plan shall be submitted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decided by binding arbitration. Arbitration shall be administered exclusively by JAMS, Inc. and shall be conducted consistent with the rules, regulations and requirements thereof as well as any requirements imposed by state law. Any arbitral award determination shall be final and binding.</w:t>
      </w:r>
    </w:p>
    <w:p>
      <w:pPr>
        <w:spacing w:after="0" w:line="203"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Attorney’s Fees. </w:t>
      </w:r>
      <w:r>
        <w:rPr>
          <w:rFonts w:ascii="Times New Roman" w:cs="Times New Roman" w:eastAsia="Times New Roman" w:hAnsi="Times New Roman"/>
          <w:sz w:val="18"/>
          <w:szCs w:val="18"/>
          <w:color w:val="auto"/>
        </w:rPr>
        <w:t>The Company and each Participant shall bear their own attorneys’ fees incurred in connection with any claim disputes between them.</w:t>
      </w:r>
    </w:p>
    <w:p>
      <w:pPr>
        <w:sectPr>
          <w:pgSz w:w="11900" w:h="16838" w:orient="portrait"/>
          <w:cols w:equalWidth="0" w:num="1">
            <w:col w:w="11232"/>
          </w:cols>
          <w:pgMar w:left="328" w:top="140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Anevski,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440" w:val="left"/>
          <w:tab w:leader="none" w:pos="748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860" w:val="left"/>
          <w:tab w:leader="none" w:pos="758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26035</wp:posOffset>
            </wp:positionV>
            <wp:extent cx="3703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4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March 31,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00" w:val="left"/>
          <w:tab w:leader="none" w:pos="752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4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March 31,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40" w:val="left"/>
          <w:tab w:leader="none" w:pos="744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4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2"/>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1."/>
      <w:numFmt w:val="decimal"/>
      <w:start w:val="3"/>
    </w:lvl>
  </w:abstractNum>
  <w:abstractNum w:abstractNumId="8">
    <w:nsid w:val="7C3DBD3D"/>
    <w:multiLevelType w:val="hybridMultilevel"/>
    <w:lvl w:ilvl="0">
      <w:lvlJc w:val="left"/>
      <w:lvlText w:val="%1."/>
      <w:numFmt w:val="decimal"/>
      <w:start w:val="4"/>
    </w:lvl>
  </w:abstractNum>
  <w:abstractNum w:abstractNumId="9">
    <w:nsid w:val="737B8DDC"/>
    <w:multiLevelType w:val="hybridMultilevel"/>
    <w:lvl w:ilvl="0">
      <w:lvlJc w:val="left"/>
      <w:lvlText w:val="%1."/>
      <w:numFmt w:val="decimal"/>
      <w:start w:val="5"/>
    </w:lvl>
  </w:abstractNum>
  <w:abstractNum w:abstractNumId="10">
    <w:nsid w:val="6CEAF087"/>
    <w:multiLevelType w:val="hybridMultilevel"/>
    <w:lvl w:ilvl="0">
      <w:lvlJc w:val="left"/>
      <w:lvlText w:val="%1."/>
      <w:numFmt w:val="decimal"/>
      <w:start w:val="6"/>
    </w:lvl>
  </w:abstractNum>
  <w:abstractNum w:abstractNumId="11">
    <w:nsid w:val="22221A70"/>
    <w:multiLevelType w:val="hybridMultilevel"/>
    <w:lvl w:ilvl="0">
      <w:lvlJc w:val="left"/>
      <w:lvlText w:val="%1."/>
      <w:numFmt w:val="decimal"/>
      <w:start w:val="7"/>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8"/>
    </w:lvl>
  </w:abstractNum>
  <w:abstractNum w:abstractNumId="14">
    <w:nsid w:val="614FD4A1"/>
    <w:multiLevelType w:val="hybridMultilevel"/>
    <w:lvl w:ilvl="0">
      <w:lvlJc w:val="left"/>
      <w:lvlText w:val="%1."/>
      <w:numFmt w:val="decimal"/>
      <w:start w:val="9"/>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3"/>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lowerLetter"/>
      <w:start w:val="6"/>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lvl w:ilvl="1">
      <w:lvlJc w:val="left"/>
      <w:lvlText w:val="(%2)"/>
      <w:numFmt w:val="lowerLetter"/>
      <w:start w:val="1"/>
    </w:lvl>
  </w:abstractNum>
  <w:abstractNum w:abstractNumId="41">
    <w:nsid w:val="38437FDB"/>
    <w:multiLevelType w:val="hybridMultilevel"/>
    <w:lvl w:ilvl="0">
      <w:lvlJc w:val="left"/>
      <w:lvlText w:val="%1."/>
      <w:numFmt w:val="decimal"/>
      <w:start w:val="2"/>
    </w:lvl>
    <w:lvl w:ilvl="1">
      <w:lvlJc w:val="left"/>
      <w:lvlText w:val="(%2)"/>
      <w:numFmt w:val="lowerLetter"/>
      <w:start w:val="1"/>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lowerRoman"/>
      <w:start w:val="1"/>
    </w:lvl>
  </w:abstractNum>
  <w:abstractNum w:abstractNumId="44">
    <w:nsid w:val="684A481A"/>
    <w:multiLevelType w:val="hybridMultilevel"/>
    <w:lvl w:ilvl="0">
      <w:lvlJc w:val="left"/>
      <w:lvlText w:val="(%1)"/>
      <w:numFmt w:val="upperLetter"/>
      <w:start w:val="1"/>
    </w:lvl>
  </w:abstractNum>
  <w:abstractNum w:abstractNumId="45">
    <w:nsid w:val="579478FE"/>
    <w:multiLevelType w:val="hybridMultilevel"/>
    <w:lvl w:ilvl="0">
      <w:lvlJc w:val="left"/>
      <w:lvlText w:val="%1"/>
      <w:numFmt w:val="decimal"/>
      <w:start w:val="1"/>
    </w:lvl>
    <w:lvl w:ilvl="1">
      <w:lvlJc w:val="left"/>
      <w:lvlText w:val="(%2)"/>
      <w:numFmt w:val="lowerRoman"/>
      <w:start w:val="3"/>
    </w:lvl>
  </w:abstractNum>
  <w:abstractNum w:abstractNumId="46">
    <w:nsid w:val="749ABB43"/>
    <w:multiLevelType w:val="hybridMultilevel"/>
    <w:lvl w:ilvl="0">
      <w:lvlJc w:val="left"/>
      <w:lvlText w:val="%1."/>
      <w:numFmt w:val="decimal"/>
      <w:start w:val="4"/>
    </w:lvl>
    <w:lvl w:ilvl="1">
      <w:lvlJc w:val="left"/>
      <w:lvlText w:val="%2"/>
      <w:numFmt w:val="lowerRoman"/>
      <w:start w:val="1"/>
    </w:lvl>
  </w:abstractNum>
  <w:abstractNum w:abstractNumId="47">
    <w:nsid w:val="3DC240FB"/>
    <w:multiLevelType w:val="hybridMultilevel"/>
    <w:lvl w:ilvl="0">
      <w:lvlJc w:val="left"/>
      <w:lvlText w:val="%1"/>
      <w:numFmt w:val="decimal"/>
      <w:start w:val="1"/>
    </w:lvl>
    <w:lvl w:ilvl="1">
      <w:lvlJc w:val="left"/>
      <w:lvlText w:val="(%2)"/>
      <w:numFmt w:val="lowerLetter"/>
      <w:start w:val="1"/>
    </w:lvl>
  </w:abstractNum>
  <w:abstractNum w:abstractNumId="48">
    <w:nsid w:val="1BA026FA"/>
    <w:multiLevelType w:val="hybridMultilevel"/>
    <w:lvl w:ilvl="0">
      <w:lvlJc w:val="left"/>
      <w:lvlText w:val="%1."/>
      <w:numFmt w:val="decimal"/>
      <w:start w:val="5"/>
    </w:lvl>
    <w:lvl w:ilvl="1">
      <w:lvlJc w:val="left"/>
      <w:lvlText w:val="%2"/>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2024-05-10T08:22:35Z</dcterms:created>
  <dcterms:modified xsi:type="dcterms:W3CDTF">2024-05-10T08:22:35Z</dcterms:modified>
</cp:coreProperties>
</file>