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w:t>
      </w:r>
    </w:p>
    <w:p>
      <w:pPr>
        <w:pStyle w:val="TextBody"/>
        <w:spacing w:lineRule="auto" w:line="288" w:before="120" w:after="283"/>
        <w:jc w:val="center"/>
        <w:rPr>
          <w:rFonts w:ascii="Times New Roman;sans-serif" w:hAnsi="Times New Roman;sans-serif"/>
          <w:b/>
          <w:color w:val="000000"/>
          <w:sz w:val="34"/>
        </w:rPr>
      </w:pPr>
      <w:r>
        <w:rPr>
          <w:rFonts w:ascii="Times New Roman;sans-serif" w:hAnsi="Times New Roman;sans-serif"/>
          <w:b/>
          <w:color w:val="000000"/>
          <w:sz w:val="34"/>
        </w:rPr>
        <w:t>FORM 10-Q</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w:t>
      </w:r>
    </w:p>
    <w:p>
      <w:pPr>
        <w:pStyle w:val="TextBody"/>
        <w:spacing w:lineRule="auto" w:line="288" w:before="120" w:after="283"/>
        <w:rPr>
          <w:rFonts w:ascii="Times New Roman;sans-serif" w:hAnsi="Times New Roman;sans-serif"/>
          <w:b/>
          <w:color w:val="000000"/>
          <w:sz w:val="14"/>
        </w:rPr>
      </w:pPr>
      <w:r>
        <w:rPr>
          <w:rFonts w:ascii="Times New Roman;sans-serif" w:hAnsi="Times New Roman;sans-serif"/>
          <w:b/>
          <w:color w:val="000000"/>
          <w:sz w:val="14"/>
        </w:rPr>
        <w:t>(Mark One)</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color w:val="000000"/>
                <w:sz w:val="18"/>
              </w:rPr>
            </w:pPr>
            <w:r>
              <w:rPr>
                <w:rFonts w:ascii="Wingdings;sans-serif" w:hAnsi="Wingdings;sans-serif"/>
                <w:b/>
                <w:color w:val="000000"/>
                <w:sz w:val="18"/>
              </w:rPr>
              <w:t>x</w:t>
            </w:r>
          </w:p>
        </w:tc>
        <w:tc>
          <w:tcPr>
            <w:tcW w:w="94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color w:val="000000"/>
                <w:sz w:val="18"/>
              </w:rPr>
            </w:pPr>
            <w:r>
              <w:rPr>
                <w:rFonts w:ascii="Wingdings;sans-serif" w:hAnsi="Wingdings;sans-serif"/>
                <w:b/>
                <w:color w:val="000000"/>
                <w:sz w:val="18"/>
              </w:rPr>
              <w:t>o</w:t>
            </w:r>
          </w:p>
        </w:tc>
        <w:tc>
          <w:tcPr>
            <w:tcW w:w="94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___________________ to ___________________</w:t>
      </w:r>
    </w:p>
    <w:p>
      <w:pPr>
        <w:pStyle w:val="TextBody"/>
        <w:spacing w:lineRule="auto" w:line="288" w:before="120" w:after="283"/>
        <w:jc w:val="center"/>
        <w:rPr/>
      </w:pPr>
      <w:r>
        <w:rPr>
          <w:rFonts w:ascii="Times New Roman;sans-serif" w:hAnsi="Times New Roman;sans-serif"/>
          <w:b/>
          <w:color w:val="000000"/>
          <w:sz w:val="18"/>
        </w:rPr>
        <w:t xml:space="preserve">Commission File Number: </w:t>
      </w:r>
      <w:r>
        <w:rPr>
          <w:rFonts w:ascii="Times New Roman;sans-serif" w:hAnsi="Times New Roman;sans-serif"/>
          <w:b/>
          <w:color w:val="000000"/>
          <w:sz w:val="18"/>
          <w:highlight w:val="white"/>
        </w:rPr>
        <w:t>001-39100</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w:t>
      </w:r>
    </w:p>
    <w:p>
      <w:pPr>
        <w:pStyle w:val="TextBody"/>
        <w:spacing w:lineRule="auto" w:line="288" w:before="120" w:after="283"/>
        <w:jc w:val="center"/>
        <w:rPr>
          <w:rFonts w:ascii="Times New Roman;sans-serif" w:hAnsi="Times New Roman;sans-serif"/>
          <w:b/>
          <w:color w:val="000000"/>
          <w:sz w:val="46"/>
        </w:rPr>
      </w:pPr>
      <w:r>
        <w:rPr>
          <w:rFonts w:ascii="Times New Roman;sans-serif" w:hAnsi="Times New Roman;sans-serif"/>
          <w:b/>
          <w:color w:val="000000"/>
          <w:sz w:val="46"/>
        </w:rPr>
        <w:t>Progyny,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w:t>
      </w:r>
    </w:p>
    <w:tbl>
      <w:tblPr>
        <w:tblW w:w="3239" w:type="dxa"/>
        <w:jc w:val="left"/>
        <w:tblInd w:w="0" w:type="dxa"/>
        <w:tblCellMar>
          <w:top w:w="28" w:type="dxa"/>
          <w:left w:w="28" w:type="dxa"/>
          <w:bottom w:w="28" w:type="dxa"/>
          <w:right w:w="28" w:type="dxa"/>
        </w:tblCellMar>
      </w:tblPr>
      <w:tblGrid>
        <w:gridCol w:w="775"/>
        <w:gridCol w:w="683"/>
        <w:gridCol w:w="686"/>
        <w:gridCol w:w="320"/>
        <w:gridCol w:w="320"/>
        <w:gridCol w:w="455"/>
      </w:tblGrid>
      <w:tr>
        <w:trPr/>
        <w:tc>
          <w:tcPr>
            <w:tcW w:w="775"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09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27-2220139</w:t>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2"/>
              </w:rPr>
            </w:pPr>
            <w:r>
              <w:rPr>
                <w:rFonts w:ascii="Times New Roman;sans-serif" w:hAnsi="Times New Roman;sans-serif"/>
                <w:b/>
                <w:color w:val="000000"/>
                <w:sz w:val="12"/>
              </w:rPr>
              <w:t>(State or other jurisdiction of</w:t>
            </w:r>
          </w:p>
          <w:p>
            <w:pPr>
              <w:pStyle w:val="TableContents"/>
              <w:spacing w:lineRule="auto" w:line="276" w:before="0" w:after="15"/>
              <w:jc w:val="center"/>
              <w:rPr>
                <w:rFonts w:ascii="Times New Roman;sans-serif" w:hAnsi="Times New Roman;sans-serif"/>
                <w:b/>
                <w:color w:val="000000"/>
                <w:sz w:val="12"/>
              </w:rPr>
            </w:pPr>
            <w:r>
              <w:rPr>
                <w:rFonts w:ascii="Times New Roman;sans-serif" w:hAnsi="Times New Roman;sans-serif"/>
                <w:b/>
                <w:color w:val="000000"/>
                <w:sz w:val="12"/>
              </w:rPr>
              <w:t>incorporation or organization)</w:t>
            </w:r>
          </w:p>
        </w:tc>
        <w:tc>
          <w:tcPr>
            <w:tcW w:w="109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2"/>
              </w:rPr>
            </w:pPr>
            <w:r>
              <w:rPr>
                <w:rFonts w:ascii="Times New Roman;sans-serif" w:hAnsi="Times New Roman;sans-serif"/>
                <w:b/>
                <w:color w:val="000000"/>
                <w:sz w:val="12"/>
              </w:rPr>
              <w:t>(I.R.S. Employer</w:t>
            </w:r>
          </w:p>
          <w:p>
            <w:pPr>
              <w:pStyle w:val="TableContents"/>
              <w:spacing w:lineRule="auto" w:line="276" w:before="0" w:after="0"/>
              <w:jc w:val="center"/>
              <w:rPr>
                <w:rFonts w:ascii="Times New Roman;sans-serif" w:hAnsi="Times New Roman;sans-serif"/>
                <w:b/>
                <w:color w:val="000000"/>
                <w:sz w:val="12"/>
              </w:rPr>
            </w:pPr>
            <w:r>
              <w:rPr>
                <w:rFonts w:ascii="Times New Roman;sans-serif" w:hAnsi="Times New Roman;sans-serif"/>
                <w:b/>
                <w:color w:val="000000"/>
                <w:sz w:val="12"/>
              </w:rPr>
              <w:t>Identification No.)</w:t>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76" w:before="0" w:after="15"/>
              <w:jc w:val="center"/>
              <w:rPr>
                <w:rFonts w:ascii="Times New Roman;sans-serif" w:hAnsi="Times New Roman;sans-serif"/>
                <w:b/>
                <w:color w:val="000000"/>
                <w:sz w:val="18"/>
              </w:rPr>
            </w:pPr>
            <w:r>
              <w:rPr>
                <w:rFonts w:ascii="Times New Roman;sans-serif" w:hAnsi="Times New Roman;sans-serif"/>
                <w:b/>
                <w:color w:val="000000"/>
                <w:sz w:val="18"/>
              </w:rPr>
              <w:t>1359 Broadway</w:t>
            </w:r>
          </w:p>
          <w:p>
            <w:pPr>
              <w:pStyle w:val="TableContents"/>
              <w:spacing w:lineRule="auto" w:line="276" w:before="0" w:after="15"/>
              <w:jc w:val="center"/>
              <w:rPr/>
            </w:pPr>
            <w:r>
              <w:rPr>
                <w:rFonts w:ascii="Times New Roman;sans-serif" w:hAnsi="Times New Roman;sans-serif"/>
                <w:b/>
                <w:color w:val="000000"/>
                <w:sz w:val="18"/>
              </w:rPr>
              <w:t xml:space="preserve">New York, </w:t>
            </w:r>
            <w:r>
              <w:rPr>
                <w:rFonts w:ascii="Times New Roman;sans-serif" w:hAnsi="Times New Roman;sans-serif"/>
                <w:b/>
                <w:color w:val="000000"/>
                <w:sz w:val="20"/>
              </w:rPr>
              <w:t>New York</w:t>
            </w:r>
          </w:p>
        </w:tc>
        <w:tc>
          <w:tcPr>
            <w:tcW w:w="109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10018</w:t>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2"/>
              </w:rPr>
            </w:pPr>
            <w:r>
              <w:rPr>
                <w:rFonts w:ascii="Times New Roman;sans-serif" w:hAnsi="Times New Roman;sans-serif"/>
                <w:b/>
                <w:color w:val="000000"/>
                <w:sz w:val="12"/>
              </w:rPr>
              <w:t>(Address of principal executive offices)</w:t>
            </w:r>
          </w:p>
        </w:tc>
        <w:tc>
          <w:tcPr>
            <w:tcW w:w="109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2"/>
              </w:rPr>
            </w:pPr>
            <w:r>
              <w:rPr>
                <w:rFonts w:ascii="Times New Roman;sans-serif" w:hAnsi="Times New Roman;sans-serif"/>
                <w:b/>
                <w:color w:val="000000"/>
                <w:sz w:val="12"/>
              </w:rPr>
              <w:t>(Zip Code)</w:t>
            </w:r>
          </w:p>
        </w:tc>
      </w:tr>
    </w:tbl>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(212) 888-3124</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N/A</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w:t>
      </w:r>
    </w:p>
    <w:p>
      <w:pPr>
        <w:pStyle w:val="TextBody"/>
        <w:spacing w:lineRule="auto" w:line="288" w:before="4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6837" w:type="dxa"/>
        <w:jc w:val="left"/>
        <w:tblInd w:w="0" w:type="dxa"/>
        <w:tblCellMar>
          <w:top w:w="28" w:type="dxa"/>
          <w:left w:w="28" w:type="dxa"/>
          <w:bottom w:w="28" w:type="dxa"/>
          <w:right w:w="28" w:type="dxa"/>
        </w:tblCellMar>
      </w:tblPr>
      <w:tblGrid>
        <w:gridCol w:w="748"/>
        <w:gridCol w:w="656"/>
        <w:gridCol w:w="665"/>
        <w:gridCol w:w="484"/>
        <w:gridCol w:w="484"/>
        <w:gridCol w:w="486"/>
        <w:gridCol w:w="970"/>
        <w:gridCol w:w="970"/>
        <w:gridCol w:w="1374"/>
      </w:tblGrid>
      <w:tr>
        <w:trPr/>
        <w:tc>
          <w:tcPr>
            <w:tcW w:w="74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6" w:space="0" w:color="000000"/>
              <w:left w:val="single" w:sz="6" w:space="0" w:color="000000"/>
              <w:right w:val="single" w:sz="6" w:space="0" w:color="000000"/>
            </w:tcBorders>
            <w:shd w:fill="auto" w:val="clear"/>
            <w:tcMar>
              <w:top w:w="30" w:type="dxa"/>
              <w:bottom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069"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$0.0001 par value per share</w:t>
            </w:r>
          </w:p>
        </w:tc>
        <w:tc>
          <w:tcPr>
            <w:tcW w:w="1454"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PGNY</w:t>
            </w:r>
          </w:p>
        </w:tc>
        <w:tc>
          <w:tcPr>
            <w:tcW w:w="3314"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tcMar>
            <w:vAlign w:val="center"/>
          </w:tcPr>
          <w:p>
            <w:pPr>
              <w:pStyle w:val="TableContents"/>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bl>
    <w:p>
      <w:pPr>
        <w:pStyle w:val="TextBody"/>
        <w:spacing w:lineRule="auto" w:line="288" w:before="120" w:after="283"/>
        <w:ind w:left="0" w:right="0" w:firstLine="720"/>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spacing w:lineRule="auto" w:line="288" w:before="120" w:after="283"/>
        <w:ind w:left="0" w:right="0" w:firstLine="720"/>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spacing w:lineRule="auto" w:line="288" w:before="120" w:after="283"/>
        <w:ind w:left="0" w:right="0" w:firstLine="72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5" w:type="dxa"/>
        <w:jc w:val="left"/>
        <w:tblInd w:w="0" w:type="dxa"/>
        <w:tblCellMar>
          <w:top w:w="28" w:type="dxa"/>
          <w:left w:w="28" w:type="dxa"/>
          <w:bottom w:w="28" w:type="dxa"/>
          <w:right w:w="28" w:type="dxa"/>
        </w:tblCellMar>
      </w:tblPr>
      <w:tblGrid>
        <w:gridCol w:w="124"/>
        <w:gridCol w:w="109"/>
        <w:gridCol w:w="109"/>
        <w:gridCol w:w="549"/>
        <w:gridCol w:w="549"/>
        <w:gridCol w:w="551"/>
        <w:gridCol w:w="109"/>
        <w:gridCol w:w="109"/>
        <w:gridCol w:w="109"/>
        <w:gridCol w:w="674"/>
        <w:gridCol w:w="674"/>
        <w:gridCol w:w="677"/>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14"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spacing w:lineRule="auto" w:line="288" w:before="120" w:after="283"/>
        <w:ind w:left="0" w:right="0" w:firstLine="720"/>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spacing w:lineRule="auto" w:line="288" w:before="120" w:after="283"/>
        <w:ind w:left="0" w:right="0" w:firstLine="720"/>
        <w:jc w:val="both"/>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As of April 30, 2023, the registrant had 94,407,257 shares of common stock, $0.0001 par value per share,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312"/>
        <w:gridCol w:w="274"/>
        <w:gridCol w:w="276"/>
        <w:gridCol w:w="2941"/>
        <w:gridCol w:w="2941"/>
        <w:gridCol w:w="2947"/>
        <w:gridCol w:w="149"/>
        <w:gridCol w:w="149"/>
        <w:gridCol w:w="216"/>
      </w:tblGrid>
      <w:tr>
        <w:trPr/>
        <w:tc>
          <w:tcPr>
            <w:tcW w:w="31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941" w:type="dxa"/>
            <w:tcBorders/>
            <w:shd w:fill="auto" w:val="clear"/>
            <w:vAlign w:val="center"/>
          </w:tcPr>
          <w:p>
            <w:pPr>
              <w:pStyle w:val="TableContents"/>
              <w:spacing w:before="0" w:after="283"/>
              <w:rPr>
                <w:sz w:val="4"/>
                <w:szCs w:val="4"/>
              </w:rPr>
            </w:pPr>
            <w:r>
              <w:rPr>
                <w:sz w:val="4"/>
                <w:szCs w:val="4"/>
              </w:rPr>
            </w:r>
          </w:p>
        </w:tc>
        <w:tc>
          <w:tcPr>
            <w:tcW w:w="2941" w:type="dxa"/>
            <w:tcBorders/>
            <w:shd w:fill="auto" w:val="clear"/>
            <w:vAlign w:val="center"/>
          </w:tcPr>
          <w:p>
            <w:pPr>
              <w:pStyle w:val="TableContents"/>
              <w:spacing w:before="0" w:after="283"/>
              <w:rPr>
                <w:sz w:val="4"/>
                <w:szCs w:val="4"/>
              </w:rPr>
            </w:pPr>
            <w:r>
              <w:rPr>
                <w:sz w:val="4"/>
                <w:szCs w:val="4"/>
              </w:rPr>
            </w:r>
          </w:p>
        </w:tc>
        <w:tc>
          <w:tcPr>
            <w:tcW w:w="294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6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6">
              <w:r>
                <w:rPr>
                  <w:rStyle w:val="InternetLink"/>
                  <w:rFonts w:ascii="Times New Roman;sans-serif" w:hAnsi="Times New Roman;sans-serif"/>
                  <w:b/>
                  <w:color w:val="0000FF"/>
                  <w:sz w:val="20"/>
                  <w:u w:val="single"/>
                </w:rPr>
                <w:t>PART I.</w:t>
              </w:r>
            </w:hyperlink>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6">
              <w:r>
                <w:rPr>
                  <w:rStyle w:val="InternetLink"/>
                  <w:rFonts w:ascii="Times New Roman;sans-serif" w:hAnsi="Times New Roman;sans-serif"/>
                  <w:b/>
                  <w:color w:val="0000FF"/>
                  <w:sz w:val="20"/>
                  <w:u w:val="single"/>
                </w:rPr>
                <w:t>FINANCIAL INFORMATION</w:t>
              </w:r>
            </w:hyperlink>
          </w:p>
        </w:tc>
        <w:tc>
          <w:tcPr>
            <w:tcW w:w="514" w:type="dxa"/>
            <w:gridSpan w:val="3"/>
            <w:tcBorders>
              <w:top w:val="single" w:sz="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9">
              <w:r>
                <w:rPr>
                  <w:rStyle w:val="InternetLink"/>
                  <w:rFonts w:ascii="Times New Roman;sans-serif" w:hAnsi="Times New Roman;sans-serif"/>
                  <w:b w:val="false"/>
                  <w:color w:val="0000FF"/>
                  <w:sz w:val="20"/>
                  <w:u w:val="single"/>
                </w:rPr>
                <w:t>Item 1.</w:t>
              </w:r>
            </w:hyperlink>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9">
              <w:r>
                <w:rPr>
                  <w:rStyle w:val="InternetLink"/>
                  <w:rFonts w:ascii="Times New Roman;sans-serif" w:hAnsi="Times New Roman;sans-serif"/>
                  <w:b w:val="false"/>
                  <w:color w:val="0000FF"/>
                  <w:sz w:val="20"/>
                  <w:u w:val="single"/>
                </w:rPr>
                <w:t>Financial Statements (Unaudited)</w:t>
              </w:r>
            </w:hyperlink>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22">
              <w:r>
                <w:rPr>
                  <w:rStyle w:val="InternetLink"/>
                  <w:rFonts w:ascii="Times New Roman;sans-serif" w:hAnsi="Times New Roman;sans-serif"/>
                  <w:b w:val="false"/>
                  <w:color w:val="0000FF"/>
                  <w:sz w:val="20"/>
                  <w:u w:val="single"/>
                </w:rPr>
                <w:t>Consolidated Balance Sheets as of March 31, 2023 and December 31, 2022</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22">
              <w:r>
                <w:rPr>
                  <w:rStyle w:val="InternetLink"/>
                  <w:rFonts w:ascii="Times New Roman;sans-serif" w:hAnsi="Times New Roman;sans-serif"/>
                  <w:b w:val="false"/>
                  <w:strike w:val="false"/>
                  <w:dstrike w:val="false"/>
                  <w:color w:val="000000"/>
                  <w:sz w:val="20"/>
                  <w:u w:val="none"/>
                  <w:effect w:val="none"/>
                </w:rPr>
                <w:t>6</w:t>
              </w:r>
            </w:hyperlink>
          </w:p>
        </w:tc>
      </w:tr>
      <w:tr>
        <w:trPr/>
        <w:tc>
          <w:tcPr>
            <w:tcW w:w="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25">
              <w:r>
                <w:rPr>
                  <w:rStyle w:val="InternetLink"/>
                  <w:rFonts w:ascii="Times New Roman;sans-serif" w:hAnsi="Times New Roman;sans-serif"/>
                  <w:b w:val="false"/>
                  <w:color w:val="0000FF"/>
                  <w:sz w:val="20"/>
                  <w:u w:val="single"/>
                </w:rPr>
                <w:t>Consolidated Statements of Operations for the Three Months Ended March 31, 2023 and 2022</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25">
              <w:r>
                <w:rPr>
                  <w:rStyle w:val="InternetLink"/>
                  <w:rFonts w:ascii="Times New Roman;sans-serif" w:hAnsi="Times New Roman;sans-serif"/>
                  <w:b w:val="false"/>
                  <w:strike w:val="false"/>
                  <w:dstrike w:val="false"/>
                  <w:color w:val="000000"/>
                  <w:sz w:val="20"/>
                  <w:u w:val="none"/>
                  <w:effect w:val="none"/>
                </w:rPr>
                <w:t>7</w:t>
              </w:r>
            </w:hyperlink>
          </w:p>
        </w:tc>
      </w:tr>
      <w:tr>
        <w:trPr/>
        <w:tc>
          <w:tcPr>
            <w:tcW w:w="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28">
              <w:r>
                <w:rPr>
                  <w:rStyle w:val="InternetLink"/>
                </w:rPr>
                <w:t>Consolidated Statements of Comprehensive Income</w:t>
              </w:r>
            </w:hyperlink>
            <w:hyperlink w:anchor="i2e8161a61b724f40b2e32eff939303cf_28">
              <w:r>
                <w:rPr>
                  <w:rStyle w:val="InternetLink"/>
                </w:rPr>
                <w:t xml:space="preserve"> for the Three Months Ended March 31, 2023 and 2022</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28">
              <w:r>
                <w:rPr>
                  <w:rStyle w:val="InternetLink"/>
                  <w:rFonts w:ascii="Times New Roman;sans-serif" w:hAnsi="Times New Roman;sans-serif"/>
                  <w:b w:val="false"/>
                  <w:strike w:val="false"/>
                  <w:dstrike w:val="false"/>
                  <w:color w:val="000000"/>
                  <w:sz w:val="20"/>
                  <w:u w:val="none"/>
                  <w:effect w:val="none"/>
                </w:rPr>
                <w:t>8</w:t>
              </w:r>
            </w:hyperlink>
          </w:p>
        </w:tc>
      </w:tr>
      <w:tr>
        <w:trPr/>
        <w:tc>
          <w:tcPr>
            <w:tcW w:w="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31">
              <w:r>
                <w:rPr>
                  <w:rStyle w:val="InternetLink"/>
                  <w:rFonts w:ascii="Times New Roman;sans-serif" w:hAnsi="Times New Roman;sans-serif"/>
                  <w:b w:val="false"/>
                  <w:color w:val="0000FF"/>
                  <w:sz w:val="20"/>
                  <w:u w:val="single"/>
                </w:rPr>
                <w:t>Consolidated Statements of Changes in Stockholders’ Equity for the Three Months Ended March 31, 2023 and 2022</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31">
              <w:r>
                <w:rPr>
                  <w:rStyle w:val="InternetLink"/>
                  <w:rFonts w:ascii="Times New Roman;sans-serif" w:hAnsi="Times New Roman;sans-serif"/>
                  <w:b w:val="false"/>
                  <w:strike w:val="false"/>
                  <w:dstrike w:val="false"/>
                  <w:color w:val="000000"/>
                  <w:sz w:val="20"/>
                  <w:u w:val="none"/>
                  <w:effect w:val="none"/>
                </w:rPr>
                <w:t>9</w:t>
              </w:r>
            </w:hyperlink>
          </w:p>
        </w:tc>
      </w:tr>
      <w:tr>
        <w:trPr/>
        <w:tc>
          <w:tcPr>
            <w:tcW w:w="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34">
              <w:r>
                <w:rPr>
                  <w:rStyle w:val="InternetLink"/>
                  <w:rFonts w:ascii="Times New Roman;sans-serif" w:hAnsi="Times New Roman;sans-serif"/>
                  <w:b w:val="false"/>
                  <w:color w:val="0000FF"/>
                  <w:sz w:val="20"/>
                  <w:u w:val="single"/>
                </w:rPr>
                <w:t>Consolidated Statements of Cash Flows for the Three Months Ended March 31, 2023 and 2022</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34">
              <w:r>
                <w:rPr>
                  <w:rStyle w:val="InternetLink"/>
                  <w:rFonts w:ascii="Times New Roman;sans-serif" w:hAnsi="Times New Roman;sans-serif"/>
                  <w:b w:val="false"/>
                  <w:strike w:val="false"/>
                  <w:dstrike w:val="false"/>
                  <w:color w:val="000000"/>
                  <w:sz w:val="20"/>
                  <w:u w:val="none"/>
                  <w:effect w:val="none"/>
                </w:rPr>
                <w:t>10</w:t>
              </w:r>
            </w:hyperlink>
          </w:p>
        </w:tc>
      </w:tr>
      <w:tr>
        <w:trPr/>
        <w:tc>
          <w:tcPr>
            <w:tcW w:w="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37">
              <w:r>
                <w:rPr>
                  <w:rStyle w:val="InternetLink"/>
                  <w:rFonts w:ascii="Times New Roman;sans-serif" w:hAnsi="Times New Roman;sans-serif"/>
                  <w:b w:val="false"/>
                  <w:color w:val="0000FF"/>
                  <w:sz w:val="20"/>
                  <w:u w:val="single"/>
                </w:rPr>
                <w:t>Notes to Consolidated Financial Statements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37">
              <w:r>
                <w:rPr>
                  <w:rStyle w:val="InternetLink"/>
                  <w:rFonts w:ascii="Times New Roman;sans-serif" w:hAnsi="Times New Roman;sans-serif"/>
                  <w:b w:val="false"/>
                  <w:strike w:val="false"/>
                  <w:dstrike w:val="false"/>
                  <w:color w:val="000000"/>
                  <w:sz w:val="20"/>
                  <w:u w:val="none"/>
                  <w:effect w:val="none"/>
                </w:rPr>
                <w:t>11</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76">
              <w:r>
                <w:rPr>
                  <w:rStyle w:val="InternetLink"/>
                  <w:rFonts w:ascii="Times New Roman;sans-serif" w:hAnsi="Times New Roman;sans-serif"/>
                  <w:b w:val="false"/>
                  <w:color w:val="0000FF"/>
                  <w:sz w:val="20"/>
                  <w:u w:val="single"/>
                </w:rPr>
                <w:t>Item 2.</w:t>
              </w:r>
            </w:hyperlink>
          </w:p>
        </w:tc>
        <w:tc>
          <w:tcPr>
            <w:tcW w:w="88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76">
              <w:r>
                <w:rPr>
                  <w:rStyle w:val="InternetLink"/>
                  <w:rFonts w:ascii="Times New Roman;sans-serif" w:hAnsi="Times New Roman;sans-serif"/>
                  <w:b w:val="false"/>
                  <w:strike w:val="false"/>
                  <w:dstrike w:val="false"/>
                  <w:color w:val="000000"/>
                  <w:sz w:val="20"/>
                  <w:u w:val="none"/>
                  <w:effect w:val="none"/>
                </w:rPr>
                <w:t>20</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15">
              <w:r>
                <w:rPr>
                  <w:rStyle w:val="InternetLink"/>
                  <w:rFonts w:ascii="Times New Roman;sans-serif" w:hAnsi="Times New Roman;sans-serif"/>
                  <w:b w:val="false"/>
                  <w:color w:val="0000FF"/>
                  <w:sz w:val="20"/>
                  <w:u w:val="single"/>
                </w:rPr>
                <w:t>Item 3.</w:t>
              </w:r>
            </w:hyperlink>
          </w:p>
        </w:tc>
        <w:tc>
          <w:tcPr>
            <w:tcW w:w="88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15">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115">
              <w:r>
                <w:rPr>
                  <w:rStyle w:val="InternetLink"/>
                  <w:rFonts w:ascii="Times New Roman;sans-serif" w:hAnsi="Times New Roman;sans-serif"/>
                  <w:b w:val="false"/>
                  <w:strike w:val="false"/>
                  <w:dstrike w:val="false"/>
                  <w:color w:val="000000"/>
                  <w:sz w:val="20"/>
                  <w:u w:val="none"/>
                  <w:effect w:val="none"/>
                </w:rPr>
                <w:t>32</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18">
              <w:r>
                <w:rPr>
                  <w:rStyle w:val="InternetLink"/>
                  <w:rFonts w:ascii="Times New Roman;sans-serif" w:hAnsi="Times New Roman;sans-serif"/>
                  <w:b w:val="false"/>
                  <w:color w:val="0000FF"/>
                  <w:sz w:val="20"/>
                  <w:u w:val="single"/>
                </w:rPr>
                <w:t>Item 4.</w:t>
              </w:r>
            </w:hyperlink>
          </w:p>
        </w:tc>
        <w:tc>
          <w:tcPr>
            <w:tcW w:w="88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18">
              <w:r>
                <w:rPr>
                  <w:rStyle w:val="InternetLink"/>
                  <w:rFonts w:ascii="Times New Roman;sans-serif" w:hAnsi="Times New Roman;sans-serif"/>
                  <w:b w:val="false"/>
                  <w:color w:val="0000FF"/>
                  <w:sz w:val="20"/>
                  <w:u w:val="single"/>
                </w:rPr>
                <w:t>Controls and Procedures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118">
              <w:r>
                <w:rPr>
                  <w:rStyle w:val="InternetLink"/>
                  <w:rFonts w:ascii="Times New Roman;sans-serif" w:hAnsi="Times New Roman;sans-serif"/>
                  <w:b w:val="false"/>
                  <w:strike w:val="false"/>
                  <w:dstrike w:val="false"/>
                  <w:color w:val="000000"/>
                  <w:sz w:val="20"/>
                  <w:u w:val="none"/>
                  <w:effect w:val="none"/>
                </w:rPr>
                <w:t>33</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21">
              <w:r>
                <w:rPr>
                  <w:rStyle w:val="InternetLink"/>
                  <w:rFonts w:ascii="Times New Roman;sans-serif" w:hAnsi="Times New Roman;sans-serif"/>
                  <w:b/>
                  <w:color w:val="0000FF"/>
                  <w:sz w:val="20"/>
                  <w:u w:val="single"/>
                </w:rPr>
                <w:t>PART II.</w:t>
              </w:r>
            </w:hyperlink>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21">
              <w:r>
                <w:rPr>
                  <w:rStyle w:val="InternetLink"/>
                  <w:rFonts w:ascii="Times New Roman;sans-serif" w:hAnsi="Times New Roman;sans-serif"/>
                  <w:b/>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24">
              <w:r>
                <w:rPr>
                  <w:rStyle w:val="InternetLink"/>
                  <w:rFonts w:ascii="Times New Roman;sans-serif" w:hAnsi="Times New Roman;sans-serif"/>
                  <w:b w:val="false"/>
                  <w:color w:val="0000FF"/>
                  <w:sz w:val="20"/>
                  <w:u w:val="single"/>
                </w:rPr>
                <w:t>Item 1.</w:t>
              </w:r>
            </w:hyperlink>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24">
              <w:r>
                <w:rPr>
                  <w:rStyle w:val="InternetLink"/>
                  <w:rFonts w:ascii="Times New Roman;sans-serif" w:hAnsi="Times New Roman;sans-serif"/>
                  <w:b w:val="false"/>
                  <w:color w:val="0000FF"/>
                  <w:sz w:val="20"/>
                  <w:u w:val="single"/>
                </w:rPr>
                <w:t>Legal Proceedings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124">
              <w:r>
                <w:rPr>
                  <w:rStyle w:val="InternetLink"/>
                  <w:rFonts w:ascii="Times New Roman;sans-serif" w:hAnsi="Times New Roman;sans-serif"/>
                  <w:b w:val="false"/>
                  <w:strike w:val="false"/>
                  <w:dstrike w:val="false"/>
                  <w:color w:val="000000"/>
                  <w:sz w:val="20"/>
                  <w:u w:val="none"/>
                  <w:effect w:val="none"/>
                </w:rPr>
                <w:t>34</w:t>
              </w:r>
            </w:hyperlink>
          </w:p>
        </w:tc>
      </w:tr>
      <w:tr>
        <w:trPr/>
        <w:tc>
          <w:tcPr>
            <w:tcW w:w="86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30">
              <w:r>
                <w:rPr>
                  <w:rStyle w:val="InternetLink"/>
                  <w:rFonts w:ascii="Times New Roman;sans-serif" w:hAnsi="Times New Roman;sans-serif"/>
                  <w:b w:val="false"/>
                  <w:color w:val="0000FF"/>
                  <w:sz w:val="20"/>
                  <w:u w:val="single"/>
                </w:rPr>
                <w:t>Item 1A.</w:t>
              </w:r>
            </w:hyperlink>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30">
              <w:r>
                <w:rPr>
                  <w:rStyle w:val="InternetLink"/>
                  <w:rFonts w:ascii="Times New Roman;sans-serif" w:hAnsi="Times New Roman;sans-serif"/>
                  <w:b w:val="false"/>
                  <w:color w:val="0000FF"/>
                  <w:sz w:val="20"/>
                  <w:u w:val="single"/>
                </w:rPr>
                <w:t>Risk Factors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130">
              <w:r>
                <w:rPr>
                  <w:rStyle w:val="InternetLink"/>
                  <w:rFonts w:ascii="Times New Roman;sans-serif" w:hAnsi="Times New Roman;sans-serif"/>
                  <w:b w:val="false"/>
                  <w:strike w:val="false"/>
                  <w:dstrike w:val="false"/>
                  <w:color w:val="000000"/>
                  <w:sz w:val="20"/>
                  <w:u w:val="none"/>
                  <w:effect w:val="none"/>
                </w:rPr>
                <w:t>34</w:t>
              </w:r>
            </w:hyperlink>
          </w:p>
        </w:tc>
      </w:tr>
      <w:tr>
        <w:trPr/>
        <w:tc>
          <w:tcPr>
            <w:tcW w:w="86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27">
              <w:r>
                <w:rPr>
                  <w:rStyle w:val="InternetLink"/>
                  <w:rFonts w:ascii="Times New Roman;sans-serif" w:hAnsi="Times New Roman;sans-serif"/>
                  <w:b w:val="false"/>
                  <w:color w:val="0000FF"/>
                  <w:sz w:val="20"/>
                  <w:u w:val="single"/>
                </w:rPr>
                <w:t>Item 2.</w:t>
              </w:r>
            </w:hyperlink>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27">
              <w:r>
                <w:rPr>
                  <w:rStyle w:val="InternetLink"/>
                  <w:rFonts w:ascii="Times New Roman;sans-serif" w:hAnsi="Times New Roman;sans-serif"/>
                  <w:b w:val="false"/>
                  <w:color w:val="0000FF"/>
                  <w:sz w:val="20"/>
                  <w:u w:val="single"/>
                </w:rPr>
                <w:t>Unregistered Sales of Equity Securities and Use of Proceeds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127">
              <w:r>
                <w:rPr>
                  <w:rStyle w:val="InternetLink"/>
                  <w:rFonts w:ascii="Times New Roman;sans-serif" w:hAnsi="Times New Roman;sans-serif"/>
                  <w:b w:val="false"/>
                  <w:strike w:val="false"/>
                  <w:dstrike w:val="false"/>
                  <w:color w:val="000000"/>
                  <w:sz w:val="20"/>
                  <w:u w:val="none"/>
                  <w:effect w:val="none"/>
                </w:rPr>
                <w:t>63</w:t>
              </w:r>
            </w:hyperlink>
          </w:p>
        </w:tc>
      </w:tr>
      <w:tr>
        <w:trPr/>
        <w:tc>
          <w:tcPr>
            <w:tcW w:w="86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33">
              <w:r>
                <w:rPr>
                  <w:rStyle w:val="InternetLink"/>
                  <w:rFonts w:ascii="Times New Roman;sans-serif" w:hAnsi="Times New Roman;sans-serif"/>
                  <w:b w:val="false"/>
                  <w:color w:val="0000FF"/>
                  <w:sz w:val="20"/>
                  <w:u w:val="single"/>
                </w:rPr>
                <w:t>Item 3.</w:t>
              </w:r>
            </w:hyperlink>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33">
              <w:r>
                <w:rPr>
                  <w:rStyle w:val="InternetLink"/>
                  <w:rFonts w:ascii="Times New Roman;sans-serif" w:hAnsi="Times New Roman;sans-serif"/>
                  <w:b w:val="false"/>
                  <w:color w:val="0000FF"/>
                  <w:sz w:val="20"/>
                  <w:u w:val="single"/>
                </w:rPr>
                <w:t>Defaults Upon Senior Securities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133">
              <w:r>
                <w:rPr>
                  <w:rStyle w:val="InternetLink"/>
                  <w:rFonts w:ascii="Times New Roman;sans-serif" w:hAnsi="Times New Roman;sans-serif"/>
                  <w:b w:val="false"/>
                  <w:strike w:val="false"/>
                  <w:dstrike w:val="false"/>
                  <w:color w:val="000000"/>
                  <w:sz w:val="20"/>
                  <w:u w:val="none"/>
                  <w:effect w:val="none"/>
                </w:rPr>
                <w:t>64</w:t>
              </w:r>
            </w:hyperlink>
          </w:p>
        </w:tc>
      </w:tr>
      <w:tr>
        <w:trPr/>
        <w:tc>
          <w:tcPr>
            <w:tcW w:w="86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36">
              <w:r>
                <w:rPr>
                  <w:rStyle w:val="InternetLink"/>
                  <w:rFonts w:ascii="Times New Roman;sans-serif" w:hAnsi="Times New Roman;sans-serif"/>
                  <w:b w:val="false"/>
                  <w:color w:val="0000FF"/>
                  <w:sz w:val="20"/>
                  <w:u w:val="single"/>
                </w:rPr>
                <w:t>Item 4.</w:t>
              </w:r>
            </w:hyperlink>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36">
              <w:r>
                <w:rPr>
                  <w:rStyle w:val="InternetLink"/>
                  <w:rFonts w:ascii="Times New Roman;sans-serif" w:hAnsi="Times New Roman;sans-serif"/>
                  <w:b w:val="false"/>
                  <w:color w:val="0000FF"/>
                  <w:sz w:val="20"/>
                  <w:u w:val="single"/>
                </w:rPr>
                <w:t>Mine Safety Disclosures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136">
              <w:r>
                <w:rPr>
                  <w:rStyle w:val="InternetLink"/>
                  <w:rFonts w:ascii="Times New Roman;sans-serif" w:hAnsi="Times New Roman;sans-serif"/>
                  <w:b w:val="false"/>
                  <w:strike w:val="false"/>
                  <w:dstrike w:val="false"/>
                  <w:color w:val="000000"/>
                  <w:sz w:val="20"/>
                  <w:u w:val="none"/>
                  <w:effect w:val="none"/>
                </w:rPr>
                <w:t>64</w:t>
              </w:r>
            </w:hyperlink>
          </w:p>
        </w:tc>
      </w:tr>
      <w:tr>
        <w:trPr/>
        <w:tc>
          <w:tcPr>
            <w:tcW w:w="86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39">
              <w:r>
                <w:rPr>
                  <w:rStyle w:val="InternetLink"/>
                  <w:rFonts w:ascii="Times New Roman;sans-serif" w:hAnsi="Times New Roman;sans-serif"/>
                  <w:b w:val="false"/>
                  <w:color w:val="0000FF"/>
                  <w:sz w:val="20"/>
                  <w:u w:val="single"/>
                </w:rPr>
                <w:t>Item 5.</w:t>
              </w:r>
            </w:hyperlink>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39">
              <w:r>
                <w:rPr>
                  <w:rStyle w:val="InternetLink"/>
                  <w:rFonts w:ascii="Times New Roman;sans-serif" w:hAnsi="Times New Roman;sans-serif"/>
                  <w:b w:val="false"/>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139">
              <w:r>
                <w:rPr>
                  <w:rStyle w:val="InternetLink"/>
                  <w:rFonts w:ascii="Times New Roman;sans-serif" w:hAnsi="Times New Roman;sans-serif"/>
                  <w:b w:val="false"/>
                  <w:strike w:val="false"/>
                  <w:dstrike w:val="false"/>
                  <w:color w:val="000000"/>
                  <w:sz w:val="20"/>
                  <w:u w:val="none"/>
                  <w:effect w:val="none"/>
                </w:rPr>
                <w:t>64</w:t>
              </w:r>
            </w:hyperlink>
          </w:p>
        </w:tc>
      </w:tr>
      <w:tr>
        <w:trPr/>
        <w:tc>
          <w:tcPr>
            <w:tcW w:w="86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45">
              <w:r>
                <w:rPr>
                  <w:rStyle w:val="InternetLink"/>
                  <w:rFonts w:ascii="Times New Roman;sans-serif" w:hAnsi="Times New Roman;sans-serif"/>
                  <w:b w:val="false"/>
                  <w:color w:val="0000FF"/>
                  <w:sz w:val="20"/>
                  <w:u w:val="single"/>
                </w:rPr>
                <w:t>Item 6.</w:t>
              </w:r>
            </w:hyperlink>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42">
              <w:r>
                <w:rPr>
                  <w:rStyle w:val="InternetLink"/>
                  <w:rFonts w:ascii="Times New Roman;sans-serif" w:hAnsi="Times New Roman;sans-serif"/>
                  <w:b w:val="false"/>
                  <w:color w:val="0000FF"/>
                  <w:sz w:val="20"/>
                  <w:u w:val="single"/>
                </w:rPr>
                <w:t>Exhibits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142">
              <w:r>
                <w:rPr>
                  <w:rStyle w:val="InternetLink"/>
                  <w:rFonts w:ascii="Times New Roman;sans-serif" w:hAnsi="Times New Roman;sans-serif"/>
                  <w:b w:val="false"/>
                  <w:strike w:val="false"/>
                  <w:dstrike w:val="false"/>
                  <w:color w:val="000000"/>
                  <w:sz w:val="20"/>
                  <w:u w:val="none"/>
                  <w:effect w:val="none"/>
                </w:rPr>
                <w:t>65</w:t>
              </w:r>
            </w:hyperlink>
          </w:p>
        </w:tc>
      </w:tr>
      <w:tr>
        <w:trPr/>
        <w:tc>
          <w:tcPr>
            <w:tcW w:w="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8161a61b724f40b2e32eff939303cf_145">
              <w:r>
                <w:rPr>
                  <w:rStyle w:val="InternetLink"/>
                  <w:rFonts w:ascii="Times New Roman;sans-serif" w:hAnsi="Times New Roman;sans-serif"/>
                  <w:b w:val="false"/>
                  <w:color w:val="0000FF"/>
                  <w:sz w:val="20"/>
                  <w:u w:val="single"/>
                </w:rPr>
                <w:t>Signatures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8161a61b724f40b2e32eff939303cf_145">
              <w:r>
                <w:rPr>
                  <w:rStyle w:val="InternetLink"/>
                  <w:rFonts w:ascii="Times New Roman;sans-serif" w:hAnsi="Times New Roman;sans-serif"/>
                  <w:b w:val="false"/>
                  <w:strike w:val="false"/>
                  <w:dstrike w:val="false"/>
                  <w:color w:val="000000"/>
                  <w:sz w:val="20"/>
                  <w:u w:val="none"/>
                  <w:effect w:val="none"/>
                </w:rPr>
                <w:t>69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CAUTIONARY NOTE REGARDING FORWARD-LOOKING STATEMENTS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strategies, plans, objectives and goals; and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impacts of the COVID-19 pandemic, including variants,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“will,” “should,” “expect,” “plan,” “anticipate,” “could,” “intend,” “target,” “project,” “contemplate,” “believe,” “estimate,” “predict,” “potential,” “seek,”, "assume", "future"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SUMMARY OF RISKS AFFECTING OUR BUSINESS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in Part II, Item 1A. of this Quarterly Report on Form 10-Q and should be carefully considered, together with other information in this Quarterly Report on Form 10-Q and our other filings with the U.S. Securities and Exchange Commission, or the SEC, before making an investment decision regarding our common stock.</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may fail to meet our publicly announced guidance or other expectations about our business and future results of operations, which would cause our stock price to decline.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COVID-19 pandemic, including variants and resurgences, has had and is expected to continue to have, and similar health epidemics or pandemics could in the future have, an adverse impact on our business, operations, and the markets and communities in which we and our clients, members and providers operate.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fertility market in which we participate is competitive, and if we do not continue to compete effectively, our results of operations could be harmed.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Unfavorable conditions in the global economy or our industry could limit our ability to grow our business and negatively affect our results of operations.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business depends on our ability to retain our existing clients and increase the adoption of our services within our client base. Any failure to do so would harm our business, financial condition and results of operations.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If we are unable to attract new clients, our business, financial condition and results of operations would be adversely affected.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A significant change in the level or the mix of the utilization of our solutions could have an adverse effect on our business, financial condition and results of operations.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have a limited operating history with our current platform of solutions, which makes it difficult to predict our future results of operations.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or developments in the health insurance markets in the United States, including passage and implementation of a law to create a single-payer or government-run health insurance program, could adversely harm our business and results of operations.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health benefits industry may be subject to negative publicity, which could adversely affect our business, financial condition and results of operations.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growth depends in part on the success of our strategic relationships with, and monitoring of, third parties, including channel partners, vendors, as well as insurance carriers.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If we fail to maintain an efficient pharmacy distribution network or if there is a disruption to our network of specialty pharmacies or their supply chains, our business, financial condition and results of operations could suffer.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operate in a highly regulated industry and must comply with a significant number of complex and evolving legal and regulatory requirements.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healthcare regulatory and political framework is uncertain and evolving. Recent and future developments in the healthcare industry could have an adverse impact on our business, financial condition and results of operations.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references in this Quarterly Report on Form 10-Q to the terms “Progyny,” “the Company,” “we,” “our” and “us” refer to Progyny, Inc. and its wholly owned subsidiaries.</w:t>
      </w:r>
    </w:p>
    <w:p>
      <w:pPr>
        <w:pStyle w:val="TextBody"/>
        <w:spacing w:lineRule="auto" w:line="288" w:before="240" w:after="283"/>
        <w:jc w:val="both"/>
        <w:rPr>
          <w:color w:val="000000"/>
        </w:rPr>
      </w:pPr>
      <w:r>
        <w:rPr>
          <w:color w:val="000000"/>
        </w:rPr>
        <w:t>“</w:t>
      </w:r>
      <w:r>
        <w:rPr>
          <w:rFonts w:ascii="Times New Roman;sans-serif" w:hAnsi="Times New Roman;sans-serif"/>
          <w:b w:val="false"/>
          <w:color w:val="000000"/>
          <w:sz w:val="20"/>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pStyle w:val="TextBody"/>
        <w:spacing w:lineRule="auto" w:line="288" w:before="240" w:after="283"/>
        <w:jc w:val="both"/>
        <w:rPr/>
      </w:pPr>
      <w:r>
        <w:rPr>
          <w:rFonts w:ascii="Times New Roman;sans-serif" w:hAnsi="Times New Roman;sans-serif"/>
          <w:b w:val="false"/>
          <w:color w:val="000000"/>
          <w:sz w:val="20"/>
        </w:rPr>
        <w:t xml:space="preserve">We announce material information to the public through filings with the SEC, our investor relations website at </w:t>
      </w:r>
      <w:r>
        <w:rPr>
          <w:rFonts w:ascii="Times New Roman;sans-serif" w:hAnsi="Times New Roman;sans-serif"/>
          <w:b w:val="false"/>
          <w:i/>
          <w:color w:val="000000"/>
          <w:sz w:val="20"/>
        </w:rPr>
        <w:t>investors.progyny.com</w:t>
      </w:r>
      <w:r>
        <w:rPr>
          <w:rFonts w:ascii="Times New Roman;sans-serif" w:hAnsi="Times New Roman;sans-serif"/>
          <w:b w:val="false"/>
          <w:color w:val="000000"/>
          <w:sz w:val="20"/>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PROGYNY,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amounts)</w:t>
      </w:r>
    </w:p>
    <w:tbl>
      <w:tblPr>
        <w:tblW w:w="10205" w:type="dxa"/>
        <w:jc w:val="center"/>
        <w:tblInd w:w="0" w:type="dxa"/>
        <w:tblCellMar>
          <w:top w:w="28" w:type="dxa"/>
          <w:left w:w="28" w:type="dxa"/>
          <w:bottom w:w="28" w:type="dxa"/>
          <w:right w:w="28" w:type="dxa"/>
        </w:tblCellMar>
      </w:tblPr>
      <w:tblGrid>
        <w:gridCol w:w="3092"/>
        <w:gridCol w:w="2239"/>
        <w:gridCol w:w="2208"/>
        <w:gridCol w:w="211"/>
        <w:gridCol w:w="826"/>
        <w:gridCol w:w="109"/>
        <w:gridCol w:w="109"/>
        <w:gridCol w:w="109"/>
        <w:gridCol w:w="109"/>
        <w:gridCol w:w="211"/>
        <w:gridCol w:w="826"/>
        <w:gridCol w:w="156"/>
      </w:tblGrid>
      <w:tr>
        <w:trPr/>
        <w:tc>
          <w:tcPr>
            <w:tcW w:w="3092" w:type="dxa"/>
            <w:tcBorders/>
            <w:shd w:fill="auto" w:val="clear"/>
            <w:vAlign w:val="center"/>
          </w:tcPr>
          <w:p>
            <w:pPr>
              <w:pStyle w:val="TableContents"/>
              <w:spacing w:before="0" w:after="283"/>
              <w:rPr>
                <w:sz w:val="4"/>
                <w:szCs w:val="4"/>
              </w:rPr>
            </w:pPr>
            <w:r>
              <w:rPr>
                <w:sz w:val="4"/>
                <w:szCs w:val="4"/>
              </w:rPr>
            </w:r>
          </w:p>
        </w:tc>
        <w:tc>
          <w:tcPr>
            <w:tcW w:w="2239" w:type="dxa"/>
            <w:tcBorders/>
            <w:shd w:fill="auto" w:val="clear"/>
            <w:vAlign w:val="center"/>
          </w:tcPr>
          <w:p>
            <w:pPr>
              <w:pStyle w:val="TableContents"/>
              <w:spacing w:before="0" w:after="283"/>
              <w:rPr>
                <w:sz w:val="4"/>
                <w:szCs w:val="4"/>
              </w:rPr>
            </w:pPr>
            <w:r>
              <w:rPr>
                <w:sz w:val="4"/>
                <w:szCs w:val="4"/>
              </w:rPr>
            </w:r>
          </w:p>
        </w:tc>
        <w:tc>
          <w:tcPr>
            <w:tcW w:w="22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120,078 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69,222 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$33,447 and $28,328 of allowances at March 31, 2023 and December 31, 2022, respectively</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240,067 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433,856 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542,986 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109,287 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current liabilities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159,536 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166,018 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Commitments and Contingencies </w:t>
            </w:r>
            <w:r>
              <w:rPr>
                <w:rFonts w:ascii="Times New Roman;sans-serif" w:hAnsi="Times New Roman;sans-serif"/>
                <w:b w:val="false"/>
                <w:i/>
                <w:color w:val="000000"/>
                <w:sz w:val="20"/>
              </w:rPr>
              <w:t>(Note 6)</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1,000,000,000 shares authorized at March 31, 2023 and December 31, 2022; 94,319,215 and 93,301,156 shares issued and outstanding at March 31, 2023 and December 31, 2022,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349,533 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$0.0001 par value; 615,980 shares at March 31, 2023 and December 31, 2022</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earnings</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stockholders’ equity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376,968 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liabilities and stockholders’ equity </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649,724 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542,986 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PROGYNY,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 xml:space="preserve">(Unaudited) </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amounts)</w:t>
      </w:r>
    </w:p>
    <w:tbl>
      <w:tblPr>
        <w:tblW w:w="8331" w:type="dxa"/>
        <w:jc w:val="center"/>
        <w:tblInd w:w="0" w:type="dxa"/>
        <w:tblCellMar>
          <w:top w:w="28" w:type="dxa"/>
          <w:left w:w="28" w:type="dxa"/>
          <w:bottom w:w="28" w:type="dxa"/>
          <w:right w:w="28" w:type="dxa"/>
        </w:tblCellMar>
      </w:tblPr>
      <w:tblGrid>
        <w:gridCol w:w="1980"/>
        <w:gridCol w:w="1745"/>
        <w:gridCol w:w="1749"/>
        <w:gridCol w:w="240"/>
        <w:gridCol w:w="946"/>
        <w:gridCol w:w="109"/>
        <w:gridCol w:w="109"/>
        <w:gridCol w:w="109"/>
        <w:gridCol w:w="109"/>
        <w:gridCol w:w="219"/>
        <w:gridCol w:w="862"/>
        <w:gridCol w:w="154"/>
      </w:tblGrid>
      <w:tr>
        <w:trPr/>
        <w:tc>
          <w:tcPr>
            <w:tcW w:w="1980"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258,394 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172,217 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9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18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Benefit for income taxes </w:t>
            </w:r>
          </w:p>
        </w:tc>
        <w:tc>
          <w:tcPr>
            <w:tcW w:w="11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295"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0"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w:t>
            </w:r>
          </w:p>
        </w:tc>
        <w:tc>
          <w:tcPr>
            <w:tcW w:w="1295"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93,832,873 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91,410,368 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100,166,008 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99,935,735 </w:t>
            </w:r>
          </w:p>
        </w:tc>
        <w:tc>
          <w:tcPr>
            <w:tcW w:w="15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PROGYNY,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 of Comprehensive Income</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5716" w:type="dxa"/>
        <w:jc w:val="left"/>
        <w:tblInd w:w="0" w:type="dxa"/>
        <w:tblCellMar>
          <w:top w:w="28" w:type="dxa"/>
          <w:left w:w="28" w:type="dxa"/>
          <w:bottom w:w="28" w:type="dxa"/>
          <w:right w:w="28" w:type="dxa"/>
        </w:tblCellMar>
      </w:tblPr>
      <w:tblGrid>
        <w:gridCol w:w="1238"/>
        <w:gridCol w:w="1086"/>
        <w:gridCol w:w="1096"/>
        <w:gridCol w:w="283"/>
        <w:gridCol w:w="338"/>
        <w:gridCol w:w="338"/>
        <w:gridCol w:w="146"/>
        <w:gridCol w:w="146"/>
        <w:gridCol w:w="146"/>
        <w:gridCol w:w="283"/>
        <w:gridCol w:w="255"/>
        <w:gridCol w:w="361"/>
      </w:tblGrid>
      <w:tr>
        <w:trPr/>
        <w:tc>
          <w:tcPr>
            <w:tcW w:w="1238"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6"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17,678</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w:t>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w:t>
            </w:r>
          </w:p>
        </w:tc>
        <w:tc>
          <w:tcPr>
            <w:tcW w:w="95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w:t>
            </w:r>
          </w:p>
        </w:tc>
        <w:tc>
          <w:tcPr>
            <w:tcW w:w="959"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6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2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17,901</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w:t>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PROGYNY, INC.</w:t>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Changes in Stockholders’ Equity</w:t>
      </w:r>
    </w:p>
    <w:p>
      <w:pPr>
        <w:pStyle w:val="TextBody"/>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(Unaudited)</w:t>
      </w:r>
    </w:p>
    <w:p>
      <w:pPr>
        <w:pStyle w:val="TextBody"/>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 except share amounts)</w:t>
      </w:r>
    </w:p>
    <w:tbl>
      <w:tblPr>
        <w:tblW w:w="10251" w:type="dxa"/>
        <w:jc w:val="center"/>
        <w:tblInd w:w="0" w:type="dxa"/>
        <w:tblCellMar>
          <w:top w:w="28" w:type="dxa"/>
          <w:left w:w="28" w:type="dxa"/>
          <w:bottom w:w="28" w:type="dxa"/>
          <w:right w:w="28" w:type="dxa"/>
        </w:tblCellMar>
      </w:tblPr>
      <w:tblGrid>
        <w:gridCol w:w="759"/>
        <w:gridCol w:w="205"/>
        <w:gridCol w:w="207"/>
        <w:gridCol w:w="480"/>
        <w:gridCol w:w="481"/>
        <w:gridCol w:w="196"/>
        <w:gridCol w:w="109"/>
        <w:gridCol w:w="109"/>
        <w:gridCol w:w="109"/>
        <w:gridCol w:w="248"/>
        <w:gridCol w:w="305"/>
        <w:gridCol w:w="138"/>
        <w:gridCol w:w="109"/>
        <w:gridCol w:w="109"/>
        <w:gridCol w:w="109"/>
        <w:gridCol w:w="196"/>
        <w:gridCol w:w="571"/>
        <w:gridCol w:w="109"/>
        <w:gridCol w:w="109"/>
        <w:gridCol w:w="109"/>
        <w:gridCol w:w="109"/>
        <w:gridCol w:w="196"/>
        <w:gridCol w:w="736"/>
        <w:gridCol w:w="109"/>
        <w:gridCol w:w="109"/>
        <w:gridCol w:w="109"/>
        <w:gridCol w:w="109"/>
        <w:gridCol w:w="216"/>
        <w:gridCol w:w="713"/>
        <w:gridCol w:w="122"/>
        <w:gridCol w:w="109"/>
        <w:gridCol w:w="109"/>
        <w:gridCol w:w="109"/>
        <w:gridCol w:w="328"/>
        <w:gridCol w:w="705"/>
        <w:gridCol w:w="183"/>
        <w:gridCol w:w="109"/>
        <w:gridCol w:w="109"/>
        <w:gridCol w:w="109"/>
        <w:gridCol w:w="196"/>
        <w:gridCol w:w="736"/>
        <w:gridCol w:w="154"/>
      </w:tblGrid>
      <w:tr>
        <w:trPr/>
        <w:tc>
          <w:tcPr>
            <w:tcW w:w="75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restart"/>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 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restart"/>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Earnings</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 2023:</w:t>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93,301,156 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349,533 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376,968 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employee equity awards, net of shares withheld</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1,018,059 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96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94,319,215 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379,065 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45,612 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424,401 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 2022:</w:t>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91,088,781 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(2,424)</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251,822 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employee equity awards, net of shares withheld</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652,700 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96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91,741,481 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278,083 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2,547 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279,619 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PROGYNY, INC.</w:t>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(Unaudited)</w:t>
      </w:r>
    </w:p>
    <w:p>
      <w:pPr>
        <w:pStyle w:val="TextBody"/>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w:t>
      </w:r>
    </w:p>
    <w:tbl>
      <w:tblPr>
        <w:tblW w:w="9519" w:type="dxa"/>
        <w:jc w:val="left"/>
        <w:tblInd w:w="0" w:type="dxa"/>
        <w:tblCellMar>
          <w:top w:w="28" w:type="dxa"/>
          <w:left w:w="28" w:type="dxa"/>
          <w:bottom w:w="28" w:type="dxa"/>
          <w:right w:w="28" w:type="dxa"/>
        </w:tblCellMar>
      </w:tblPr>
      <w:tblGrid>
        <w:gridCol w:w="2593"/>
        <w:gridCol w:w="2274"/>
        <w:gridCol w:w="2288"/>
        <w:gridCol w:w="196"/>
        <w:gridCol w:w="736"/>
        <w:gridCol w:w="109"/>
        <w:gridCol w:w="109"/>
        <w:gridCol w:w="109"/>
        <w:gridCol w:w="109"/>
        <w:gridCol w:w="196"/>
        <w:gridCol w:w="646"/>
        <w:gridCol w:w="154"/>
      </w:tblGrid>
      <w:tr>
        <w:trPr/>
        <w:tc>
          <w:tcPr>
            <w:tcW w:w="2593" w:type="dxa"/>
            <w:tcBorders/>
            <w:shd w:fill="auto" w:val="clear"/>
            <w:vAlign w:val="center"/>
          </w:tcPr>
          <w:p>
            <w:pPr>
              <w:pStyle w:val="TableContents"/>
              <w:spacing w:before="0" w:after="283"/>
              <w:rPr>
                <w:sz w:val="4"/>
                <w:szCs w:val="4"/>
              </w:rPr>
            </w:pPr>
            <w:r>
              <w:rPr>
                <w:sz w:val="4"/>
                <w:szCs w:val="4"/>
              </w:rPr>
            </w:r>
          </w:p>
        </w:tc>
        <w:tc>
          <w:tcPr>
            <w:tcW w:w="2274" w:type="dxa"/>
            <w:tcBorders/>
            <w:shd w:fill="auto" w:val="clear"/>
            <w:vAlign w:val="center"/>
          </w:tcPr>
          <w:p>
            <w:pPr>
              <w:pStyle w:val="TableContents"/>
              <w:spacing w:before="0" w:after="283"/>
              <w:rPr>
                <w:sz w:val="4"/>
                <w:szCs w:val="4"/>
              </w:rPr>
            </w:pPr>
            <w:r>
              <w:rPr>
                <w:sz w:val="4"/>
                <w:szCs w:val="4"/>
              </w:rPr>
            </w:r>
          </w:p>
        </w:tc>
        <w:tc>
          <w:tcPr>
            <w:tcW w:w="22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4"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7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7"/>
              </w:rPr>
            </w:pPr>
            <w:r>
              <w:rPr>
                <w:rFonts w:ascii="Times New Roman;sans-serif" w:hAnsi="Times New Roman;sans-serif"/>
                <w:b/>
                <w:color w:val="000000"/>
                <w:sz w:val="17"/>
              </w:rPr>
              <w:t>OPERATING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income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Bad debt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Realized gains on sale of marketable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(78,422)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(65,845)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noncurrent assets and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(used in) operating activities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(11,262)</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7"/>
              </w:rPr>
            </w:pPr>
            <w:r>
              <w:rPr>
                <w:rFonts w:ascii="Times New Roman;sans-serif" w:hAnsi="Times New Roman;sans-serif"/>
                <w:b/>
                <w:color w:val="000000"/>
                <w:sz w:val="17"/>
              </w:rPr>
              <w:t>INVESTING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 of property and equipment,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 of marketable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(59,867)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Sale of marketable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(used in) investing activities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(39,558)</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7"/>
              </w:rPr>
            </w:pPr>
            <w:r>
              <w:rPr>
                <w:rFonts w:ascii="Times New Roman;sans-serif" w:hAnsi="Times New Roman;sans-serif"/>
                <w:b/>
                <w:color w:val="000000"/>
                <w:sz w:val="17"/>
              </w:rPr>
              <w:t>FINANCING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of employee taxes related to equity awards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contributions to employee stock purchase plan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financing activities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(1,846)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(1,772)</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increase (decrease) in cash and cash equivalents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35,242 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(52,592)</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91,413 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end of period</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155,320 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38,821 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7"/>
              </w:rPr>
            </w:pPr>
            <w:r>
              <w:rPr>
                <w:rFonts w:ascii="Times New Roman;sans-serif" w:hAnsi="Times New Roman;sans-serif"/>
                <w:b/>
                <w:color w:val="000000"/>
                <w:sz w:val="17"/>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income taxes, net of refunds received</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7"/>
              </w:rPr>
            </w:pPr>
            <w:r>
              <w:rPr>
                <w:rFonts w:ascii="Times New Roman;sans-serif" w:hAnsi="Times New Roman;sans-serif"/>
                <w:b/>
                <w:color w:val="000000"/>
                <w:sz w:val="17"/>
              </w:rPr>
              <w:t>SUPPLEMENTAL DISCLOSURE OF 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Additions of property and equipment, net included in accounts payable and accrued expenses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PROGYNY,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1.Business and Basis of Presentation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Progyny, Inc. (together with its subsidiaries referred to as “Progyny” or the “Company”) was incorporated in the state of Delaware on April 3, 2008, and maintains its corporate headquarters in New York, NY.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enhanced its fertility benefits solution with the launch of Progyny Rx, its pharmacy benefits solution, effective January 1, 2018. Progyny Rx provides the Company's members with access to the medications needed during their fertility treatment.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consolidated financial statements have been prepared on a basis consistent with the annual consolidated financial statements and, in the opinion of management, include all adjustments necessary to fairly state the Company's financial position as of March 31, 2023, the results of the Company's operations for the three months ended March 31, 2023 and 2022 and the results of the Company's cash flows for the three months ended March 31, 2023 and 2022. Therefore, these unaudited consolidated financial statements should be read in conjunction with the audited consolidated financial statements and related footnotes included in the Company’s Annual Report on Form 10-K for the fiscal year ended December 31, 2022, filed with the SEC on March 1, 2023 (the “Annual Report on Form 10-K”).</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for the three months ended March 31, 2023 are not necessarily indicative of the operating results expected for the year ending December 31, 2023 or any other future period. Additionally, there are many uncertainties regarding the ongoing coronavirus (“COVID-19”) pandemic, including variants, and the Company is closely monitoring the impact of the pandemic on all aspects of its business, including how it has impacted and may continue to impact its customers and members, provider network, specialty pharmacy partners, employees, suppliers, vendors, and other business partners. The full extent to which the COVID-19 pandemic will directly or indirectly impact the Company’s business, future results of operations and financial condition will depend on future developments that are highly uncertain and cannot be accurately predicted, including new information that may emerge concerning COVID-19 and variants, the actions taken to contain it or treat its impact, vaccine roll-out efforts and impact, including vaccine hesitancy, break-through cases and the economic impact on local, regional and national markets. The overall disruption of the healthcare and fertility markets and the other risks and uncertainties associated with the pandemic could have a material adverse effect on the Company’s business, financial condition, results of operations and growth prospects. The Company will continue to assess the evolving impact of the COVID-19 pandemic and will make adjustments to its operations as necessary.</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2.Significant Accounting Policies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Company’s significant accounting policies as compared to the significant accounting policies described in Note 2 of the Company’s Annual Report on Form 10-K.</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when control of the promised goods or services is transferred to clients in an amount that reflects the consideration the Company expects to be entitled to in exchange for those goods or services.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applies the following five-step model to recognize revenue from contracts with clients: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Identification of the contract, or contracts, with a client;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Identification of the performance obligations in the contract;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Determination of the transaction price;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Allocation of the transaction price to the performance obligations in the contract; and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Recognition of revenue when, or as, a performance obligation is satisfied.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Progyny’s contracts typically have a stated term of three years and include contractual termination options after the first year, allowing the client to terminate the contract with 30 to 90 days’ notice.</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Fertility Benefits Solution Revenue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Progyny’s contracts include the following sources of consideration, which are all variable: a per employee per month (“PEPM”) administration fee (in most, but not all contracts) and a fixed rate per Smart Cycle. The PEPM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benefits services provided. As a result, the fixed rate per Smart Cycle is included in the transaction price and recognized in the period in which the Smart Cycle is provided to the member.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estimates of service level agreement refunds have not historically resulted in significant adjustments to the transaction price.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Pharmacy Benefits Solution Revenue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contract asset or contract liability balances as of March 31, 2023 and December 31, 2022.</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Accrued Receivables and Accrued Claims Payable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accrued receivables were $67.2 million and $54.6 million, respectively. Accrued receivables are included within accounts receivable in the consolidated balance sheet.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Accrued claims payable of $43.7 million and $31.1 million as of March 31, 2023 and December 31, 2022, respectively, are included within accrued expenses and other current liabilities in the consolidated balance sheet. Claims payable are generally paid within 30 days based on contractual terms.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unbilled receivables, which represent claims received and approved but unbilled at the end of the reporting period, were $49.0 million and $42.9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Accounts Receivable and Allowance for Doubtful Accounts </w:t>
      </w:r>
    </w:p>
    <w:p>
      <w:pPr>
        <w:pStyle w:val="TextBody"/>
        <w:spacing w:lineRule="auto" w:line="288" w:before="240" w:after="283"/>
        <w:ind w:left="0" w:right="0" w:firstLine="720"/>
        <w:jc w:val="both"/>
        <w:rPr/>
      </w:pPr>
      <w:r>
        <w:rPr>
          <w:rFonts w:ascii="Times New Roman;sans-serif" w:hAnsi="Times New Roman;sans-serif"/>
          <w:b w:val="false"/>
          <w:color w:val="000000"/>
          <w:sz w:val="20"/>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An allowance for credit losses is applied at the time the asset is recognized. Expected credit losses are recorded as general and administrative expenses on the consolidated statements of operations</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The following table provides a summary of the activity in this allowance (in thousands):</w:t>
      </w:r>
    </w:p>
    <w:tbl>
      <w:tblPr>
        <w:tblW w:w="8373" w:type="dxa"/>
        <w:jc w:val="left"/>
        <w:tblInd w:w="0" w:type="dxa"/>
        <w:tblCellMar>
          <w:top w:w="28" w:type="dxa"/>
          <w:left w:w="28" w:type="dxa"/>
          <w:bottom w:w="28" w:type="dxa"/>
          <w:right w:w="28" w:type="dxa"/>
        </w:tblCellMar>
      </w:tblPr>
      <w:tblGrid>
        <w:gridCol w:w="1019"/>
        <w:gridCol w:w="896"/>
        <w:gridCol w:w="904"/>
        <w:gridCol w:w="109"/>
        <w:gridCol w:w="109"/>
        <w:gridCol w:w="109"/>
        <w:gridCol w:w="428"/>
        <w:gridCol w:w="336"/>
        <w:gridCol w:w="340"/>
        <w:gridCol w:w="109"/>
        <w:gridCol w:w="109"/>
        <w:gridCol w:w="109"/>
        <w:gridCol w:w="523"/>
        <w:gridCol w:w="284"/>
        <w:gridCol w:w="287"/>
        <w:gridCol w:w="109"/>
        <w:gridCol w:w="109"/>
        <w:gridCol w:w="109"/>
        <w:gridCol w:w="421"/>
        <w:gridCol w:w="268"/>
        <w:gridCol w:w="272"/>
        <w:gridCol w:w="109"/>
        <w:gridCol w:w="109"/>
        <w:gridCol w:w="109"/>
        <w:gridCol w:w="366"/>
        <w:gridCol w:w="296"/>
        <w:gridCol w:w="425"/>
      </w:tblGrid>
      <w:tr>
        <w:trPr/>
        <w:tc>
          <w:tcPr>
            <w:tcW w:w="1019"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Balance at</w:t>
            </w:r>
          </w:p>
          <w:p>
            <w:pPr>
              <w:pStyle w:val="TableContents"/>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Beginning</w:t>
            </w:r>
          </w:p>
          <w:p>
            <w:pPr>
              <w:pStyle w:val="TableContents"/>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Charged</w:t>
            </w:r>
          </w:p>
          <w:p>
            <w:pPr>
              <w:pStyle w:val="TableContents"/>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to Costs</w:t>
            </w:r>
          </w:p>
          <w:p>
            <w:pPr>
              <w:pStyle w:val="TableContents"/>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and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Write-offs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Balance</w:t>
            </w:r>
          </w:p>
          <w:p>
            <w:pPr>
              <w:pStyle w:val="TableContents"/>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at End</w:t>
            </w:r>
          </w:p>
          <w:p>
            <w:pPr>
              <w:pStyle w:val="TableContents"/>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of Period</w:t>
            </w:r>
          </w:p>
        </w:tc>
      </w:tr>
      <w:tr>
        <w:trPr/>
        <w:tc>
          <w:tcPr>
            <w:tcW w:w="281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33,447</w:t>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Fertility Benefits Services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Pharmacy Benefits Services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Vendor Rebates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partners (such as through a specialty pharmacy). These rebates are recognized as a reduction of cost of services when prescriptions are dispensed and are generally estimated and billed to manufacturers within 20 days after the end of each month. The effect of adjustments resulting from the reconciliation of rebates recognized to the amounts billed and collected has not been material to the Company’s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240" w:after="283"/>
        <w:ind w:left="0" w:right="0" w:firstLine="720"/>
        <w:jc w:val="both"/>
        <w:rPr/>
      </w:pPr>
      <w:r>
        <w:rPr>
          <w:rFonts w:ascii="Times New Roman;sans-serif" w:hAnsi="Times New Roman;sans-serif"/>
          <w:b w:val="false"/>
          <w:color w:val="000000"/>
          <w:sz w:val="20"/>
        </w:rPr>
        <w:t>In May 2021, the FASB issued ASU No. 2021-04 (“ASU 2021-04”) “</w:t>
      </w:r>
      <w:r>
        <w:rPr>
          <w:rFonts w:ascii="Times New Roman;sans-serif" w:hAnsi="Times New Roman;sans-serif"/>
          <w:b w:val="false"/>
          <w:i/>
          <w:color w:val="000000"/>
          <w:sz w:val="20"/>
        </w:rPr>
        <w:t>Earnings Per Share (Topic 260), Debt-Modifications and Extinguishments (Subtopic 470-50), Compensation- Stock Compensation (Topic 718), and Derivatives and Hedging-Contracts in Entity’s Own Equity (Subtopic 815- 40)</w:t>
      </w:r>
      <w:r>
        <w:rPr>
          <w:color w:val="000000"/>
        </w:rPr>
        <w:t xml:space="preserve">” </w:t>
      </w:r>
      <w:r>
        <w:rPr>
          <w:rFonts w:ascii="Times New Roman;sans-serif" w:hAnsi="Times New Roman;sans-serif"/>
          <w:b w:val="false"/>
          <w:color w:val="000000"/>
          <w:sz w:val="20"/>
        </w:rPr>
        <w:t>which provides guidance on modifications or exchanges of a freestanding equity-classified written call options that are not within the scope of another Topic, such as warrants. The Company adopted this standard as of January 1, 2022 on a prospective basis to modifications or exchanges occurring on or after this date. The adoption of this standard did not have a material impact on the Company’s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3.Revenue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Disaggregated revenue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disaggregates revenue by service (in thousands): </w:t>
      </w:r>
    </w:p>
    <w:tbl>
      <w:tblPr>
        <w:tblW w:w="5649" w:type="dxa"/>
        <w:jc w:val="center"/>
        <w:tblInd w:w="0" w:type="dxa"/>
        <w:tblCellMar>
          <w:top w:w="28" w:type="dxa"/>
          <w:left w:w="28" w:type="dxa"/>
          <w:bottom w:w="28" w:type="dxa"/>
          <w:right w:w="28" w:type="dxa"/>
        </w:tblCellMar>
      </w:tblPr>
      <w:tblGrid>
        <w:gridCol w:w="1082"/>
        <w:gridCol w:w="948"/>
        <w:gridCol w:w="955"/>
        <w:gridCol w:w="211"/>
        <w:gridCol w:w="826"/>
        <w:gridCol w:w="109"/>
        <w:gridCol w:w="109"/>
        <w:gridCol w:w="109"/>
        <w:gridCol w:w="109"/>
        <w:gridCol w:w="211"/>
        <w:gridCol w:w="826"/>
        <w:gridCol w:w="154"/>
      </w:tblGrid>
      <w:tr>
        <w:trPr/>
        <w:tc>
          <w:tcPr>
            <w:tcW w:w="1082"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Fertility benefits services revenue</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Pharmacy benefits services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258,394 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172,217 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4.Fair Value of Financial Instruments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Level 1 — Unadjusted quoted prices in active markets that are accessible at the measurement date for identical assets or liabilities.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quoted prices in active markets, that are observable either directly or indirectly.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Level 3 — Prices or valuation techniques that require inputs that are both significant to the fair value of the asset or liability and supported by little or no market activity.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observable market data when available, and minimizes the use of unobservable inputs when determining fair value.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Company had $154.7 million and $120.6 million, respectively, in financial assets held in money market accounts and $52.6 million and $69.2 million, respectively, held in marketable securities, including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did not have any assets or liabilities classified as Level 2 or Level 3 in the fair value hierarchy.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5.Leases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2019, the Company’s sublease agreement for the 25,212 square foot office in its corporate headquarters commenced in New York, NY and is scheduled to expire in May 2029. Pursuant to the sublease, the Company is obligated to pay the base rent of approximately $1.3 million per annum through the end of the fifth lease year and approximately $1.4 million per annum thereafter through the expiration date.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the Company's lease agreement for the additional 24,099 square foot office in its corporate offices commenced in New York, NY and is expected to expire in the fourth quarter of 2035. In accordance with ASC 842, the Company recorded right-of-use assets and lease liabilities of $12.2 million and $12.1 million, respectively. Pursuant to the lease, the Company is obligated to pay the base rent of approximately $1.4 million per annum beginning in April 2024 through the end of the fifth lease year and approximately $1.5 million per annum thereafter through the expiration date.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lease expense on a straight-line basis over the lease term. Lease expense for the three months ended March 31, 2023 and 2022 was $0.4 million and $0.3 million, respectively.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outflows from operating activities attributable to the operating leases for each of the three months ended March 31, 2023 and 2022 was $0.3 million.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Information related to the Company's leases is as follows (in thousands):</w:t>
      </w:r>
    </w:p>
    <w:tbl>
      <w:tblPr>
        <w:tblW w:w="9552" w:type="dxa"/>
        <w:jc w:val="left"/>
        <w:tblInd w:w="0" w:type="dxa"/>
        <w:tblCellMar>
          <w:top w:w="28" w:type="dxa"/>
          <w:left w:w="28" w:type="dxa"/>
          <w:bottom w:w="28" w:type="dxa"/>
          <w:right w:w="28" w:type="dxa"/>
        </w:tblCellMar>
      </w:tblPr>
      <w:tblGrid>
        <w:gridCol w:w="813"/>
        <w:gridCol w:w="716"/>
        <w:gridCol w:w="720"/>
        <w:gridCol w:w="1269"/>
        <w:gridCol w:w="1269"/>
        <w:gridCol w:w="1272"/>
        <w:gridCol w:w="109"/>
        <w:gridCol w:w="109"/>
        <w:gridCol w:w="109"/>
        <w:gridCol w:w="619"/>
        <w:gridCol w:w="335"/>
        <w:gridCol w:w="341"/>
        <w:gridCol w:w="109"/>
        <w:gridCol w:w="109"/>
        <w:gridCol w:w="109"/>
        <w:gridCol w:w="686"/>
        <w:gridCol w:w="354"/>
        <w:gridCol w:w="504"/>
      </w:tblGrid>
      <w:tr>
        <w:trPr/>
        <w:tc>
          <w:tcPr>
            <w:tcW w:w="813"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81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c>
          <w:tcPr>
            <w:tcW w:w="3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38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w:t>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w:t>
            </w:r>
          </w:p>
        </w:tc>
      </w:tr>
      <w:tr>
        <w:trPr/>
        <w:tc>
          <w:tcPr>
            <w:tcW w:w="2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Other information</w:t>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6"/>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operating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years</w:t>
            </w:r>
          </w:p>
        </w:tc>
      </w:tr>
      <w:tr>
        <w:trPr/>
        <w:tc>
          <w:tcPr>
            <w:tcW w:w="6059" w:type="dxa"/>
            <w:gridSpan w:val="6"/>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operating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facility lease payments related to the Company's operating lease liabilities as of March 31, 2023 were as follows (in thousands):</w:t>
      </w:r>
    </w:p>
    <w:tbl>
      <w:tblPr>
        <w:tblW w:w="8171" w:type="dxa"/>
        <w:jc w:val="left"/>
        <w:tblInd w:w="0" w:type="dxa"/>
        <w:tblCellMar>
          <w:top w:w="28" w:type="dxa"/>
          <w:left w:w="28" w:type="dxa"/>
          <w:bottom w:w="28" w:type="dxa"/>
          <w:right w:w="28" w:type="dxa"/>
        </w:tblCellMar>
      </w:tblPr>
      <w:tblGrid>
        <w:gridCol w:w="1502"/>
        <w:gridCol w:w="1323"/>
        <w:gridCol w:w="1330"/>
        <w:gridCol w:w="109"/>
        <w:gridCol w:w="109"/>
        <w:gridCol w:w="109"/>
        <w:gridCol w:w="1642"/>
        <w:gridCol w:w="847"/>
        <w:gridCol w:w="1200"/>
      </w:tblGrid>
      <w:tr>
        <w:trPr/>
        <w:tc>
          <w:tcPr>
            <w:tcW w:w="1502"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2"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 Payments as of March 31, 2023</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w:t>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w:t>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13,641</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25,234</w:t>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19,687</w:t>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current portion of operating lease liabilities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18,456</w:t>
            </w:r>
          </w:p>
        </w:tc>
      </w:tr>
    </w:tbl>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February 2022 Lease Agreement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the Company commenced its lease for the 24,099 square foot office in its corporate offices in New York, NY in February 2023, pursuant to a lease agreement entered into by the Company in February 2022. The lease agreement also provides for additional space in the Company's corporate offices, including an additional 21,262 square foot office and continued occupancy of the 25,212 square foot office after the expiration of the current sublease. For the 21,262 square foot office, the lease commencement date, which is when the premises will become available to the Company for use, is currently expected to be in the fourth quarter of 2024. The Company is obligated to pay the base rent of approximately $1.3 million starting in the fourth quarter of 2025 for five years and approximately $1.4 million per year thereafter through the fourth quarter of 2035, the expected expiration date. For the current 25,212 square foot office, the Company is obligated to pay the base rent of approximately $1.6 million per year beginning in June 2029, which is the lease commencement, through the fourth quarter of 2035, the expected expiration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6.Commitments and Contingencies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7.Stock-based Compensation Expense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stock-based compensation expense, which was included in the statements of operations as follows (in thousands): </w:t>
      </w:r>
    </w:p>
    <w:tbl>
      <w:tblPr>
        <w:tblW w:w="5904" w:type="dxa"/>
        <w:jc w:val="left"/>
        <w:tblInd w:w="0" w:type="dxa"/>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721"/>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8.Income Taxes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three months ended March 31, 2023 and 2022, the Company recorded a benefit for income taxes of $1.3 million and $5.1 million, respectively, primarily due to equity compensation activity that occurred during the period.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9.Net Income Per Share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is calculated by dividing the net income by the weighted-average number of shares of common stock outstanding for the period.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is computed by dividing the diluted net income by the weighted-average number of common shares outstanding for the period, including potential dilutive common shares assuming dilutive effect of outstanding common stock options, restricted stock units, common stock warrants, and shares issuable under the employee stock purchase plan. In periods when the Company has incurred a net loss, diluted net loss per share is the same as basic net loss per share because dilutive common shares are not assumed to have been issued if their effect is anti-dilutive. A reconciliation of net income and the number of shares in the calculation of basic and diluted net income per share is as follows (in thousands, except share and per share amounts):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tbl>
      <w:tblPr>
        <w:tblW w:w="7694" w:type="dxa"/>
        <w:jc w:val="left"/>
        <w:tblInd w:w="0" w:type="dxa"/>
        <w:tblCellMar>
          <w:top w:w="28" w:type="dxa"/>
          <w:left w:w="28" w:type="dxa"/>
          <w:bottom w:w="28" w:type="dxa"/>
          <w:right w:w="28" w:type="dxa"/>
        </w:tblCellMar>
      </w:tblPr>
      <w:tblGrid>
        <w:gridCol w:w="1908"/>
        <w:gridCol w:w="1672"/>
        <w:gridCol w:w="1685"/>
        <w:gridCol w:w="293"/>
        <w:gridCol w:w="354"/>
        <w:gridCol w:w="359"/>
        <w:gridCol w:w="154"/>
        <w:gridCol w:w="154"/>
        <w:gridCol w:w="154"/>
        <w:gridCol w:w="296"/>
        <w:gridCol w:w="274"/>
        <w:gridCol w:w="391"/>
      </w:tblGrid>
      <w:tr>
        <w:trPr/>
        <w:tc>
          <w:tcPr>
            <w:tcW w:w="1908"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r>
      <w:tr>
        <w:trPr/>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6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Basic net income per common share:</w:t>
            </w:r>
          </w:p>
        </w:tc>
        <w:tc>
          <w:tcPr>
            <w:tcW w:w="100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w:t>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9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17,678</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4,971</w:t>
            </w:r>
          </w:p>
        </w:tc>
      </w:tr>
      <w:tr>
        <w:trPr/>
        <w:tc>
          <w:tcPr>
            <w:tcW w:w="52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w:t>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basic net income per share</w:t>
            </w:r>
          </w:p>
        </w:tc>
        <w:tc>
          <w:tcPr>
            <w:tcW w:w="100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93,832,873</w:t>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91,410,368</w:t>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net income per share </w:t>
            </w:r>
          </w:p>
        </w:tc>
        <w:tc>
          <w:tcPr>
            <w:tcW w:w="293"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r>
      <w:tr>
        <w:trPr/>
        <w:tc>
          <w:tcPr>
            <w:tcW w:w="52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Diluted net income per common share:</w:t>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w:t>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9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17,678</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4,971</w:t>
            </w:r>
          </w:p>
        </w:tc>
      </w:tr>
      <w:tr>
        <w:trPr/>
        <w:tc>
          <w:tcPr>
            <w:tcW w:w="52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w:t>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basic net income per share</w:t>
            </w:r>
          </w:p>
        </w:tc>
        <w:tc>
          <w:tcPr>
            <w:tcW w:w="100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93,832,873</w:t>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91,410,368</w:t>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Effect of dilutive securities </w:t>
            </w:r>
          </w:p>
        </w:tc>
        <w:tc>
          <w:tcPr>
            <w:tcW w:w="100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6,333,135</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8,525,367</w:t>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diluted net income per share</w:t>
            </w:r>
          </w:p>
        </w:tc>
        <w:tc>
          <w:tcPr>
            <w:tcW w:w="100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100,166,008</w:t>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99,935,735</w:t>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Diluted net income per share </w:t>
            </w:r>
          </w:p>
        </w:tc>
        <w:tc>
          <w:tcPr>
            <w:tcW w:w="29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weighted-average outstanding shares of potentially dilutive securities were excluded from the computation of diluted income per share for the period presented because including them would have been antidilutive: </w:t>
      </w:r>
    </w:p>
    <w:tbl>
      <w:tblPr>
        <w:tblW w:w="6887" w:type="dxa"/>
        <w:jc w:val="left"/>
        <w:tblInd w:w="0" w:type="dxa"/>
        <w:tblCellMar>
          <w:top w:w="28" w:type="dxa"/>
          <w:left w:w="28" w:type="dxa"/>
          <w:bottom w:w="28" w:type="dxa"/>
          <w:right w:w="28" w:type="dxa"/>
        </w:tblCellMar>
      </w:tblPr>
      <w:tblGrid>
        <w:gridCol w:w="1572"/>
        <w:gridCol w:w="1386"/>
        <w:gridCol w:w="1392"/>
        <w:gridCol w:w="389"/>
        <w:gridCol w:w="389"/>
        <w:gridCol w:w="258"/>
        <w:gridCol w:w="175"/>
        <w:gridCol w:w="175"/>
        <w:gridCol w:w="175"/>
        <w:gridCol w:w="334"/>
        <w:gridCol w:w="334"/>
        <w:gridCol w:w="308"/>
      </w:tblGrid>
      <w:tr>
        <w:trPr/>
        <w:tc>
          <w:tcPr>
            <w:tcW w:w="1572"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r>
      <w:tr>
        <w:trPr/>
        <w:tc>
          <w:tcPr>
            <w:tcW w:w="4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11,897,587</w:t>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6,844,585</w:t>
            </w:r>
          </w:p>
        </w:tc>
      </w:tr>
      <w:tr>
        <w:trPr/>
        <w:tc>
          <w:tcPr>
            <w:tcW w:w="43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under employee stock purchase plan</w:t>
            </w:r>
          </w:p>
        </w:tc>
        <w:tc>
          <w:tcPr>
            <w:tcW w:w="103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r>
      <w:tr>
        <w:trPr/>
        <w:tc>
          <w:tcPr>
            <w:tcW w:w="43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3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1,603,800</w:t>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1,814,719</w:t>
            </w:r>
          </w:p>
        </w:tc>
      </w:tr>
      <w:tr>
        <w:trPr/>
        <w:tc>
          <w:tcPr>
            <w:tcW w:w="43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036"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13,501,387</w:t>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8,659,987</w:t>
            </w:r>
          </w:p>
        </w:tc>
      </w:tr>
    </w:tbl>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fiscal year ended December 31, 2022, filed with the Securities and Exchange Commission, or the SEC, on March 1, 2023.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pStyle w:val="TextBody"/>
        <w:spacing w:lineRule="auto" w:line="288" w:before="240" w:after="240"/>
        <w:ind w:left="0" w:right="0" w:firstLine="720"/>
        <w:rPr/>
      </w:pPr>
      <w:r>
        <w:rPr>
          <w:rFonts w:ascii="Times New Roman;sans-serif" w:hAnsi="Times New Roman;sans-serif"/>
          <w:b w:val="false"/>
          <w:color w:val="000000"/>
          <w:sz w:val="20"/>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370 with at least 1,000 covered lives. We currently provide coverage to approximately 5.4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time period is evidenced by our industry-leading Net Promoter Score, or NPS, of +82 for our fertility benefits solution and +79</w:t>
      </w:r>
      <w:r>
        <w:rPr>
          <w:color w:val="FF0000"/>
        </w:rPr>
        <w:t xml:space="preserve"> </w:t>
      </w:r>
      <w:r>
        <w:rPr>
          <w:rFonts w:ascii="Times New Roman;sans-serif" w:hAnsi="Times New Roman;sans-serif"/>
          <w:b w:val="false"/>
          <w:color w:val="000000"/>
          <w:sz w:val="20"/>
        </w:rPr>
        <w:t>for our integrated pharmacy benefits solution, Progyny Rx as of December 31, 2022. Our members experience healthier pregnancies and superior rates of pregnancy and live births, as well as reduced rates of miscarriages and multiple births, saving valuable time and money and limiting personal and professional disruption.</w:t>
      </w:r>
    </w:p>
    <w:tbl>
      <w:tblPr>
        <w:tblW w:w="8492" w:type="dxa"/>
        <w:jc w:val="left"/>
        <w:tblInd w:w="0" w:type="dxa"/>
        <w:tblCellMar>
          <w:top w:w="28" w:type="dxa"/>
          <w:left w:w="28" w:type="dxa"/>
          <w:bottom w:w="28" w:type="dxa"/>
          <w:right w:w="28" w:type="dxa"/>
        </w:tblCellMar>
      </w:tblPr>
      <w:tblGrid>
        <w:gridCol w:w="1005"/>
        <w:gridCol w:w="881"/>
        <w:gridCol w:w="888"/>
        <w:gridCol w:w="109"/>
        <w:gridCol w:w="109"/>
        <w:gridCol w:w="109"/>
        <w:gridCol w:w="484"/>
        <w:gridCol w:w="484"/>
        <w:gridCol w:w="486"/>
        <w:gridCol w:w="109"/>
        <w:gridCol w:w="109"/>
        <w:gridCol w:w="109"/>
        <w:gridCol w:w="539"/>
        <w:gridCol w:w="539"/>
        <w:gridCol w:w="541"/>
        <w:gridCol w:w="109"/>
        <w:gridCol w:w="109"/>
        <w:gridCol w:w="109"/>
        <w:gridCol w:w="487"/>
        <w:gridCol w:w="487"/>
        <w:gridCol w:w="690"/>
      </w:tblGrid>
      <w:tr>
        <w:trPr/>
        <w:tc>
          <w:tcPr>
            <w:tcW w:w="1005"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Outcome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National Averages</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for All Provider</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Clinics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Progyny In</w:t>
              <w:noBreakHyphen/>
              <w:t>Network</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Provider Clinic</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Averages</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All Patients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Progyny In</w:t>
              <w:noBreakHyphen/>
              <w:t>Network</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Provider Clinic</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Averages</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Progyny </w:t>
            </w:r>
          </w:p>
          <w:p>
            <w:pPr>
              <w:pStyle w:val="TableContents"/>
              <w:spacing w:lineRule="auto" w:line="276" w:before="0" w:after="0"/>
              <w:jc w:val="center"/>
              <w:rPr/>
            </w:pPr>
            <w:r>
              <w:rPr>
                <w:rFonts w:ascii="Times New Roman;sans-serif" w:hAnsi="Times New Roman;sans-serif"/>
                <w:b/>
                <w:color w:val="000000"/>
                <w:sz w:val="16"/>
              </w:rPr>
              <w:t>Members Only</w:t>
            </w:r>
            <w:r>
              <w:rPr>
                <w:rFonts w:ascii="Times New Roman;sans-serif" w:hAnsi="Times New Roman;sans-serif"/>
                <w:b/>
                <w:color w:val="000000"/>
                <w:sz w:val="10"/>
              </w:rPr>
              <w:t>(3)</w:t>
            </w:r>
            <w:r>
              <w:rPr>
                <w:color w:val="000000"/>
              </w:rPr>
              <w:t xml:space="preserve"> </w:t>
            </w:r>
          </w:p>
        </w:tc>
      </w:tr>
      <w:tr>
        <w:trPr/>
        <w:tc>
          <w:tcPr>
            <w:tcW w:w="277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Single embryo transfer rate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Pregnancy rate per IVF transfer</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Miscarriage rate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Live birth rate</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IVF multiples rate</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(1)Calculated based on the Society for Assisted Reproductive Technology, or SART, 2019 National Summary Report, finalized in 2022.</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(2)Calculated based on CDC, 2020 National Summary and Clinic Data Sets, published in 2022.</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(3)Calculated based on the 12-month period ended December 31, 2021.</w:t>
      </w:r>
    </w:p>
    <w:p>
      <w:pPr>
        <w:pStyle w:val="TextBody"/>
        <w:spacing w:lineRule="auto" w:line="288" w:before="240" w:after="283"/>
        <w:ind w:left="0" w:right="0" w:firstLine="720"/>
        <w:jc w:val="both"/>
        <w:rPr/>
      </w:pPr>
      <w:r>
        <w:rPr>
          <w:rFonts w:ascii="Times New Roman;sans-serif" w:hAnsi="Times New Roman;sans-serif"/>
          <w:b/>
          <w:i/>
          <w:color w:val="000000"/>
          <w:sz w:val="20"/>
        </w:rPr>
        <w:t>Fertility Benefits Solution</w:t>
      </w:r>
      <w:r>
        <w:rPr>
          <w:rFonts w:ascii="Times New Roman;sans-serif" w:hAnsi="Times New Roman;sans-serif"/>
          <w:b w:val="false"/>
          <w:color w:val="000000"/>
          <w:sz w:val="20"/>
        </w:rPr>
        <w:t xml:space="preserve">. Our fertility benefits solution includes providing members with access to effective and cost-efficient fertility 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 vitro fertilization, or IVF, preimplantation genetic testing). We currently offer 19 different Smart Cycle treatment bundles, which may be used in various combinations depending on the member’s need. Each Smart Cycle treatment bundle has a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pStyle w:val="TextBody"/>
        <w:spacing w:lineRule="auto" w:line="288" w:before="240" w:after="283"/>
        <w:ind w:left="0" w:right="0" w:firstLine="720"/>
        <w:jc w:val="both"/>
        <w:rPr/>
      </w:pPr>
      <w:r>
        <w:rPr>
          <w:rFonts w:ascii="Times New Roman;sans-serif" w:hAnsi="Times New Roman;sans-serif"/>
          <w:b/>
          <w:i/>
          <w:color w:val="000000"/>
          <w:sz w:val="20"/>
        </w:rPr>
        <w:t xml:space="preserve">Pharmacy Benefits Solution. </w:t>
      </w:r>
      <w:r>
        <w:rPr>
          <w:rFonts w:ascii="Times New Roman;sans-serif" w:hAnsi="Times New Roman;sans-serif"/>
          <w:b w:val="false"/>
          <w:color w:val="000000"/>
          <w:sz w:val="20"/>
        </w:rPr>
        <w:t>We went live with our integrated pharmacy benefits solution in 2018. Progyny Rx can only be purchased by clients 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pStyle w:val="TextBody"/>
        <w:spacing w:lineRule="auto" w:line="288" w:before="240" w:after="283"/>
        <w:ind w:left="0" w:right="0" w:firstLine="720"/>
        <w:jc w:val="both"/>
        <w:rPr/>
      </w:pPr>
      <w:r>
        <w:rPr>
          <w:rFonts w:ascii="Times New Roman;sans-serif" w:hAnsi="Times New Roman;sans-serif"/>
          <w:b/>
          <w:i/>
          <w:color w:val="000000"/>
          <w:sz w:val="20"/>
        </w:rPr>
        <w:t xml:space="preserve">Our Clients. </w:t>
      </w:r>
      <w:r>
        <w:rPr>
          <w:rFonts w:ascii="Times New Roman;sans-serif" w:hAnsi="Times New Roman;sans-serif"/>
          <w:b w:val="false"/>
          <w:color w:val="000000"/>
          <w:sz w:val="20"/>
        </w:rPr>
        <w:t>We currently serve over 370 employers with at least 1,000 covered lives in the United States across more than 40 industries. Our current clients, who are industry leaders across both high-growth and mature industries and who range in size from approximately 1,000 to 600,000 employees,</w:t>
      </w:r>
      <w:r>
        <w:rPr>
          <w:color w:val="000000"/>
        </w:rPr>
        <w:t xml:space="preserve"> </w:t>
      </w:r>
      <w:r>
        <w:rPr>
          <w:rFonts w:ascii="Times New Roman;sans-serif" w:hAnsi="Times New Roman;sans-serif"/>
          <w:b w:val="false"/>
          <w:color w:val="000000"/>
          <w:sz w:val="20"/>
        </w:rPr>
        <w:t xml:space="preserve">represent approximately 5.4 million covered lives.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Revenue Model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clients primarily contract with us to provide our fertility benefits solution and, where added on by our clients, our Progyny Rx solution. Our revenue has both a utilization-based component and a population-based component, as follows:</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Utilization Component. </w:t>
      </w:r>
      <w:r>
        <w:rPr>
          <w:rFonts w:ascii="Times New Roman;sans-serif" w:hAnsi="Times New Roman;sans-serif"/>
          <w:b w:val="false"/>
          <w:color w:val="000000"/>
          <w:sz w:val="20"/>
        </w:rPr>
        <w:t>Clients pay us for the fertility benefits and Progyny Rx solutions utilized by their employees. With respect to the 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Population-Based Component. </w:t>
      </w:r>
      <w:r>
        <w:rPr>
          <w:rFonts w:ascii="Times New Roman;sans-serif" w:hAnsi="Times New Roman;sans-serif"/>
          <w:b w:val="false"/>
          <w:color w:val="000000"/>
          <w:sz w:val="20"/>
        </w:rPr>
        <w:t>Clients who purchase our fertility benefits solution also typically pay us a per employee per month fee, or PEPM fee, which is population-based. This allows us to provide access to our PCAs for fertility and family building education and guidance and other digital tools to all of our members, regardless of whether they ultimately pursue fertility treatment. PEPM fees represented 1% of our total revenue for the three months ended March 31, 2023 and 2022, respectively.</w:t>
      </w:r>
    </w:p>
    <w:p>
      <w:pPr>
        <w:pStyle w:val="TextBody"/>
        <w:spacing w:lineRule="auto" w:line="288" w:before="240" w:after="283"/>
        <w:ind w:left="0" w:right="0" w:firstLine="720"/>
        <w:jc w:val="both"/>
        <w:rPr/>
      </w:pPr>
      <w:r>
        <w:rPr>
          <w:rFonts w:ascii="Times New Roman;sans-serif" w:hAnsi="Times New Roman;sans-serif"/>
          <w:b w:val="false"/>
          <w:color w:val="000000"/>
          <w:sz w:val="20"/>
        </w:rPr>
        <w:t>Our revenue in a given year is determined by the level and mix of the utilization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 xml:space="preserve">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 </w:t>
      </w:r>
    </w:p>
    <w:p>
      <w:pPr>
        <w:pStyle w:val="TextBody"/>
        <w:spacing w:lineRule="auto" w:line="276" w:before="240" w:after="283"/>
        <w:ind w:left="0" w:right="0" w:firstLine="720"/>
        <w:rPr/>
      </w:pPr>
      <w:r>
        <w:rPr>
          <w:rFonts w:ascii="Times New Roman;sans-serif" w:hAnsi="Times New Roman;sans-serif"/>
          <w:b w:val="false"/>
          <w:color w:val="000000"/>
          <w:sz w:val="20"/>
        </w:rPr>
        <w:t>Similarly, for existing clients, any changes in plan designs are typically elected by the end of October so that clients can inform their employees of the benefits during the open enrollment period ahead of a January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 xml:space="preserve">plan year start.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Key Operational and Business Metrics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measures presented in our consolidated financial statements, we use the following key operational and business metrics to evaluate our business, measure our performance, develop financial forecasts, and make strategic decisions.</w:t>
      </w:r>
    </w:p>
    <w:p>
      <w:pPr>
        <w:pStyle w:val="TextBody"/>
        <w:spacing w:lineRule="auto" w:line="288" w:before="240" w:after="283"/>
        <w:ind w:left="0" w:right="0" w:firstLine="720"/>
        <w:jc w:val="both"/>
        <w:rPr/>
      </w:pPr>
      <w:r>
        <w:rPr>
          <w:rFonts w:ascii="Times New Roman;sans-serif" w:hAnsi="Times New Roman;sans-serif"/>
          <w:b/>
          <w:i/>
          <w:color w:val="000000"/>
          <w:sz w:val="20"/>
        </w:rPr>
        <w:t>Member and Client Base.</w:t>
      </w:r>
      <w:r>
        <w:rPr>
          <w:color w:val="000000"/>
        </w:rPr>
        <w:t xml:space="preserve"> </w:t>
      </w:r>
      <w:r>
        <w:rPr>
          <w:rFonts w:ascii="Times New Roman;sans-serif" w:hAnsi="Times New Roman;sans-serif"/>
          <w:b w:val="false"/>
          <w:color w:val="000000"/>
          <w:sz w:val="20"/>
        </w:rPr>
        <w:t>Our addressable market is primarily large self-insured employers as well as labor populations under the Labor Management Relations Act of 1947 (also known as the Taft-Hartley Act). There are approximately 8,000 employers in the United States who have a minimum of 1,000 employees, who together with Taft-Hartley labor populations, represent approximately 100 million potential covered lives in total. Our current member base of approximately 5.4 million covered lives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w:t>
      </w:r>
      <w:r>
        <w:rPr>
          <w:color w:val="000000"/>
        </w:rPr>
        <w:t xml:space="preserve"> </w:t>
      </w:r>
      <w:r>
        <w:rPr>
          <w:rFonts w:ascii="Times New Roman;sans-serif" w:hAnsi="Times New Roman;sans-serif"/>
          <w:b w:val="false"/>
          <w:color w:val="000000"/>
          <w:sz w:val="20"/>
        </w:rPr>
        <w:t>covered lives. As of March 31, 2023 and December 31, 2022, we served 379 and 288 clients, respectively, representing 5,351,000 and 4,585,000 members, respectively.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tbl>
      <w:tblPr>
        <w:tblW w:w="6406" w:type="dxa"/>
        <w:jc w:val="left"/>
        <w:tblInd w:w="0" w:type="dxa"/>
        <w:tblCellMar>
          <w:top w:w="28" w:type="dxa"/>
          <w:left w:w="28" w:type="dxa"/>
          <w:bottom w:w="28" w:type="dxa"/>
          <w:right w:w="28" w:type="dxa"/>
        </w:tblCellMar>
      </w:tblPr>
      <w:tblGrid>
        <w:gridCol w:w="623"/>
        <w:gridCol w:w="550"/>
        <w:gridCol w:w="552"/>
        <w:gridCol w:w="109"/>
        <w:gridCol w:w="109"/>
        <w:gridCol w:w="109"/>
        <w:gridCol w:w="200"/>
        <w:gridCol w:w="200"/>
        <w:gridCol w:w="201"/>
        <w:gridCol w:w="141"/>
        <w:gridCol w:w="141"/>
        <w:gridCol w:w="141"/>
        <w:gridCol w:w="308"/>
        <w:gridCol w:w="308"/>
        <w:gridCol w:w="315"/>
        <w:gridCol w:w="109"/>
        <w:gridCol w:w="109"/>
        <w:gridCol w:w="109"/>
        <w:gridCol w:w="200"/>
        <w:gridCol w:w="200"/>
        <w:gridCol w:w="201"/>
        <w:gridCol w:w="165"/>
        <w:gridCol w:w="165"/>
        <w:gridCol w:w="165"/>
        <w:gridCol w:w="284"/>
        <w:gridCol w:w="284"/>
        <w:gridCol w:w="408"/>
      </w:tblGrid>
      <w:tr>
        <w:trPr/>
        <w:tc>
          <w:tcPr>
            <w:tcW w:w="623"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2"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2"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Client Tier (Members)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Clients</w:t>
            </w:r>
          </w:p>
        </w:tc>
        <w:tc>
          <w:tcPr>
            <w:tcW w:w="423"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Members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Clients</w:t>
            </w:r>
          </w:p>
        </w:tc>
        <w:tc>
          <w:tcPr>
            <w:tcW w:w="495"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Members</w:t>
            </w:r>
          </w:p>
        </w:tc>
      </w:tr>
      <w:tr>
        <w:trPr/>
        <w:tc>
          <w:tcPr>
            <w:tcW w:w="1725"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2,500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145,000</w:t>
            </w:r>
          </w:p>
        </w:tc>
      </w:tr>
      <w:tr>
        <w:trPr/>
        <w:tc>
          <w:tcPr>
            <w:tcW w:w="17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2,501 - 10,000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678,000</w:t>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10,001 - 50,000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1,275,000</w:t>
            </w:r>
          </w:p>
        </w:tc>
      </w:tr>
      <w:tr>
        <w:trPr/>
        <w:tc>
          <w:tcPr>
            <w:tcW w:w="17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50,000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2,487,000</w:t>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379</w:t>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5,351,000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288</w:t>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4,585,000</w:t>
            </w:r>
          </w:p>
        </w:tc>
      </w:tr>
    </w:tbl>
    <w:p>
      <w:pPr>
        <w:pStyle w:val="TextBody"/>
        <w:spacing w:lineRule="auto" w:line="288" w:before="240" w:after="283"/>
        <w:ind w:left="0" w:right="0" w:firstLine="720"/>
        <w:rPr/>
      </w:pPr>
      <w:r>
        <w:rPr>
          <w:rFonts w:ascii="Times New Roman;sans-serif" w:hAnsi="Times New Roman;sans-serif"/>
          <w:b/>
          <w:i/>
          <w:color w:val="000000"/>
          <w:sz w:val="20"/>
        </w:rPr>
        <w:t>Benefits Utilization</w:t>
      </w:r>
      <w:r>
        <w:rPr>
          <w:rFonts w:ascii="Times New Roman;sans-serif" w:hAnsi="Times New Roman;sans-serif"/>
          <w:b w:val="false"/>
          <w:color w:val="000000"/>
          <w:sz w:val="20"/>
        </w:rPr>
        <w:t>. A key driver of our revenue is the number of members we serve and the rate at which they utilize their fertility benefits. As our client base has grown, our membership has grown from approximately 110,000 members in 2016 when we launched our fertility benefits solution to approximately 5.4 million members</w:t>
      </w:r>
      <w:r>
        <w:rPr>
          <w:color w:val="000000"/>
        </w:rPr>
        <w:t xml:space="preserve"> </w:t>
      </w:r>
      <w:r>
        <w:rPr>
          <w:rFonts w:ascii="Times New Roman;sans-serif" w:hAnsi="Times New Roman;sans-serif"/>
          <w:b w:val="false"/>
          <w:color w:val="000000"/>
          <w:sz w:val="20"/>
        </w:rPr>
        <w:t>as of March 31, 2023.</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highlights the number of assisted reproductive treatment, or ART, cycles performed for Progyny members and the member utilization rates for each of the periods presented: </w:t>
      </w:r>
    </w:p>
    <w:tbl>
      <w:tblPr>
        <w:tblW w:w="6986" w:type="dxa"/>
        <w:jc w:val="left"/>
        <w:tblInd w:w="0" w:type="dxa"/>
        <w:tblCellMar>
          <w:top w:w="28" w:type="dxa"/>
          <w:left w:w="28" w:type="dxa"/>
          <w:bottom w:w="28" w:type="dxa"/>
          <w:right w:w="28" w:type="dxa"/>
        </w:tblCellMar>
      </w:tblPr>
      <w:tblGrid>
        <w:gridCol w:w="1500"/>
        <w:gridCol w:w="1318"/>
        <w:gridCol w:w="1322"/>
        <w:gridCol w:w="356"/>
        <w:gridCol w:w="356"/>
        <w:gridCol w:w="259"/>
        <w:gridCol w:w="259"/>
        <w:gridCol w:w="259"/>
        <w:gridCol w:w="259"/>
        <w:gridCol w:w="410"/>
        <w:gridCol w:w="321"/>
        <w:gridCol w:w="367"/>
      </w:tblGrid>
      <w:tr>
        <w:trPr/>
        <w:tc>
          <w:tcPr>
            <w:tcW w:w="1500"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7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76" w:before="0" w:after="1"/>
              <w:jc w:val="left"/>
              <w:rPr/>
            </w:pPr>
            <w:r>
              <w:rPr>
                <w:rFonts w:ascii="Times New Roman;sans-serif" w:hAnsi="Times New Roman;sans-serif"/>
                <w:b w:val="false"/>
                <w:color w:val="000000"/>
                <w:sz w:val="20"/>
              </w:rPr>
              <w:t>Assisted Reproductive Treatment (ART) Cycles</w:t>
            </w:r>
            <w:r>
              <w:rPr>
                <w:rFonts w:ascii="Times New Roman;sans-serif" w:hAnsi="Times New Roman;sans-serif"/>
                <w:b w:val="false"/>
                <w:color w:val="000000"/>
                <w:sz w:val="13"/>
              </w:rPr>
              <w:t>(1)</w:t>
            </w:r>
          </w:p>
        </w:tc>
        <w:tc>
          <w:tcPr>
            <w:tcW w:w="971"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13,171</w:t>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8,924</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76" w:before="0" w:after="1"/>
              <w:jc w:val="left"/>
              <w:rPr/>
            </w:pPr>
            <w:r>
              <w:rPr>
                <w:rFonts w:ascii="Times New Roman;sans-serif" w:hAnsi="Times New Roman;sans-serif"/>
                <w:b w:val="false"/>
                <w:color w:val="000000"/>
                <w:sz w:val="20"/>
              </w:rPr>
              <w:t>Utilization - All Members</w:t>
            </w:r>
            <w:r>
              <w:rPr>
                <w:rFonts w:ascii="Times New Roman;sans-serif" w:hAnsi="Times New Roman;sans-serif"/>
                <w:b w:val="false"/>
                <w:color w:val="000000"/>
                <w:sz w:val="13"/>
              </w:rPr>
              <w:t>(2)</w:t>
            </w:r>
          </w:p>
        </w:tc>
        <w:tc>
          <w:tcPr>
            <w:tcW w:w="97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76" w:before="0" w:after="1"/>
              <w:jc w:val="left"/>
              <w:rPr/>
            </w:pPr>
            <w:r>
              <w:rPr>
                <w:rFonts w:ascii="Times New Roman;sans-serif" w:hAnsi="Times New Roman;sans-serif"/>
                <w:b w:val="false"/>
                <w:color w:val="000000"/>
                <w:sz w:val="20"/>
              </w:rPr>
              <w:t>Utilization - Female Only</w:t>
            </w:r>
            <w:r>
              <w:rPr>
                <w:rFonts w:ascii="Times New Roman;sans-serif" w:hAnsi="Times New Roman;sans-serif"/>
                <w:b w:val="false"/>
                <w:color w:val="000000"/>
                <w:sz w:val="13"/>
              </w:rPr>
              <w:t>(2)</w:t>
            </w:r>
          </w:p>
        </w:tc>
        <w:tc>
          <w:tcPr>
            <w:tcW w:w="97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w:t>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Members</w:t>
            </w:r>
          </w:p>
        </w:tc>
        <w:tc>
          <w:tcPr>
            <w:tcW w:w="97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5,335,000</w:t>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3,927,000</w:t>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(1)Represents the number of ART cycles performed, including IVF with a fresh embryo transfer, IVF freeze all cycles/embryo banking, frozen embryo transfers and egg freezing.</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Impact of COVID-19 on our Business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significantly impacted various markets around the world, including the United States. Restrictions related to COVID-19, including variants, and our responses to them have significantly impacted and may continue to impact how our members use our services, access our providers, and how our employees work and provide services to our clients and members, resulting in an impact on our revenue. We believe we have sufficient liquidity to satisfy our cash needs, however, we continue to monitor liquidity, as necessary, and ensure that our business can continue to operate during these uncertain times. COVID-19, including variants, and related restrictions had a negative impact on our revenue growth for the three months ended March 31, 2022. To the extent that the markets we serve experience increased cases of COVID-19, including variants, state or local governments may reinstitute measures to control its spread, which could again negatively impact our members’ access to care, which could in turn impact our business. We will continue to evaluate the nature and extent of these potential impacts to our business, results of operations and liquidity.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the various risks posed by the COVID-19 pandemic, please refer to Part II, Item 1A. "Risk Factors" included in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includes fertility benefits solution revenue, pharmacy benefits solution revenue and PEPM fees.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Fertility Benefits Solution Revenue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Pharmacy Benefits Solution Revenue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is recognized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the drugs are dispensed. This solution was introduced in the marketplace in the third quarter of 2017 and went live with a select number of clients on January 1, 2018.</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Per Employee Per Month (PEPM) Fee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services has three primary components: (1) fertility benefits services; (2) pharmacy benefits services; and (3) vendor rebates.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Fertility Benefits Services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Pharmacy Benefits Services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Vendor Rebates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sales and marketing and general and administrative expenses.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 consists primarily of employee related costs, including salaries, bonuses, commissions, benefits, stock-based compensation expense, other related costs, and an allocation of our general overhead,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general and administrative expenses on an ongoing basis as a public company and to support the growth of our business.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primarily includes interest income and expense as well as investment income and losses.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Benefit for Income Taxes</w:t>
      </w:r>
    </w:p>
    <w:p>
      <w:pPr>
        <w:pStyle w:val="TextBody"/>
        <w:spacing w:lineRule="auto" w:line="288" w:before="24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the net deferred tax assets were realizable.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and as a percentage of revenue for those periods:</w:t>
      </w:r>
    </w:p>
    <w:tbl>
      <w:tblPr>
        <w:tblW w:w="6564" w:type="dxa"/>
        <w:jc w:val="left"/>
        <w:tblInd w:w="0" w:type="dxa"/>
        <w:tblCellMar>
          <w:top w:w="28" w:type="dxa"/>
          <w:left w:w="28" w:type="dxa"/>
          <w:bottom w:w="28" w:type="dxa"/>
          <w:right w:w="28" w:type="dxa"/>
        </w:tblCellMar>
      </w:tblPr>
      <w:tblGrid>
        <w:gridCol w:w="1413"/>
        <w:gridCol w:w="1242"/>
        <w:gridCol w:w="1245"/>
        <w:gridCol w:w="211"/>
        <w:gridCol w:w="826"/>
        <w:gridCol w:w="109"/>
        <w:gridCol w:w="109"/>
        <w:gridCol w:w="109"/>
        <w:gridCol w:w="109"/>
        <w:gridCol w:w="211"/>
        <w:gridCol w:w="826"/>
        <w:gridCol w:w="154"/>
      </w:tblGrid>
      <w:tr>
        <w:trPr/>
        <w:tc>
          <w:tcPr>
            <w:tcW w:w="1413"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Cost of services</w:t>
            </w:r>
            <w:r>
              <w:rPr>
                <w:rFonts w:ascii="Times New Roman;sans-serif" w:hAnsi="Times New Roman;sans-serif"/>
                <w:b w:val="false"/>
                <w:color w:val="000000"/>
                <w:sz w:val="13"/>
              </w:rPr>
              <w:t>(1)</w:t>
            </w:r>
          </w:p>
        </w:tc>
        <w:tc>
          <w:tcPr>
            <w:tcW w:w="103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highlight w:val="cyan"/>
              </w:rPr>
              <w:t>Sales and marketing</w:t>
            </w:r>
            <w:r>
              <w:rPr>
                <w:rFonts w:ascii="Times New Roman;sans-serif" w:hAnsi="Times New Roman;sans-serif"/>
                <w:b w:val="false"/>
                <w:color w:val="000000"/>
                <w:sz w:val="13"/>
                <w:highlight w:val="cyan"/>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3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16,331 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5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Benefit for income taxes </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4"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17,678 </w:t>
            </w:r>
          </w:p>
        </w:tc>
        <w:tc>
          <w:tcPr>
            <w:tcW w:w="109" w:type="dxa"/>
            <w:tcBorders>
              <w:top w:val="single" w:sz="4"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4,971 </w:t>
            </w:r>
          </w:p>
        </w:tc>
        <w:tc>
          <w:tcPr>
            <w:tcW w:w="154" w:type="dxa"/>
            <w:tcBorders>
              <w:top w:val="single" w:sz="4"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(1)Includes stock-based compensation expense as follows:</w:t>
      </w:r>
    </w:p>
    <w:tbl>
      <w:tblPr>
        <w:tblW w:w="5904" w:type="dxa"/>
        <w:jc w:val="left"/>
        <w:tblInd w:w="0" w:type="dxa"/>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721"/>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w:t>
              <w:noBreakHyphen/>
              <w:t>based compensation expense</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8572" w:type="dxa"/>
        <w:jc w:val="left"/>
        <w:tblInd w:w="0" w:type="dxa"/>
        <w:tblCellMar>
          <w:top w:w="28" w:type="dxa"/>
          <w:left w:w="28" w:type="dxa"/>
          <w:bottom w:w="28" w:type="dxa"/>
          <w:right w:w="28" w:type="dxa"/>
        </w:tblCellMar>
      </w:tblPr>
      <w:tblGrid>
        <w:gridCol w:w="2255"/>
        <w:gridCol w:w="1982"/>
        <w:gridCol w:w="1987"/>
        <w:gridCol w:w="308"/>
        <w:gridCol w:w="308"/>
        <w:gridCol w:w="331"/>
        <w:gridCol w:w="133"/>
        <w:gridCol w:w="133"/>
        <w:gridCol w:w="133"/>
        <w:gridCol w:w="308"/>
        <w:gridCol w:w="308"/>
        <w:gridCol w:w="386"/>
      </w:tblGrid>
      <w:tr>
        <w:trPr/>
        <w:tc>
          <w:tcPr>
            <w:tcW w:w="2255"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198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8"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 as a percentage of revenue:</w:t>
            </w:r>
          </w:p>
        </w:tc>
        <w:tc>
          <w:tcPr>
            <w:tcW w:w="94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3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8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8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8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8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Benefit for income taxes </w:t>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Non-GAAP Financial Measure – Adjusted EBITDA</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other (income) expense, net and interest (income) expense,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Adjusted EBITDA as net income, adjusted to exclude depreciation and amortization, stock-based compensation expense, other (income) expense, net, interest income, net, and benefit for income taxes. The following table presents a reconciliation of Adjusted EBITDA to net income, the most directly comparable financial measure stated in accordance with U.S. GAAP, for each of the periods indicated: </w:t>
      </w:r>
    </w:p>
    <w:tbl>
      <w:tblPr>
        <w:tblW w:w="5454" w:type="dxa"/>
        <w:jc w:val="left"/>
        <w:tblInd w:w="0" w:type="dxa"/>
        <w:tblCellMar>
          <w:top w:w="28" w:type="dxa"/>
          <w:left w:w="28" w:type="dxa"/>
          <w:bottom w:w="28" w:type="dxa"/>
          <w:right w:w="28" w:type="dxa"/>
        </w:tblCellMar>
      </w:tblPr>
      <w:tblGrid>
        <w:gridCol w:w="1084"/>
        <w:gridCol w:w="950"/>
        <w:gridCol w:w="966"/>
        <w:gridCol w:w="211"/>
        <w:gridCol w:w="721"/>
        <w:gridCol w:w="109"/>
        <w:gridCol w:w="109"/>
        <w:gridCol w:w="109"/>
        <w:gridCol w:w="109"/>
        <w:gridCol w:w="211"/>
        <w:gridCol w:w="721"/>
        <w:gridCol w:w="154"/>
      </w:tblGrid>
      <w:tr>
        <w:trPr/>
        <w:tc>
          <w:tcPr>
            <w:tcW w:w="1084"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w:t>
              <w:noBreakHyphen/>
              <w:t>based compensation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for income taxes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24,806 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Comparison of Three Months Ended March 31, 2023 and 2022</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Revenue</w:t>
      </w:r>
    </w:p>
    <w:tbl>
      <w:tblPr>
        <w:tblW w:w="4871" w:type="dxa"/>
        <w:jc w:val="left"/>
        <w:tblInd w:w="0" w:type="dxa"/>
        <w:tblCellMar>
          <w:top w:w="28" w:type="dxa"/>
          <w:left w:w="28" w:type="dxa"/>
          <w:bottom w:w="28" w:type="dxa"/>
          <w:right w:w="28" w:type="dxa"/>
        </w:tblCellMar>
      </w:tblPr>
      <w:tblGrid>
        <w:gridCol w:w="304"/>
        <w:gridCol w:w="268"/>
        <w:gridCol w:w="269"/>
        <w:gridCol w:w="465"/>
        <w:gridCol w:w="466"/>
        <w:gridCol w:w="185"/>
        <w:gridCol w:w="185"/>
        <w:gridCol w:w="185"/>
        <w:gridCol w:w="185"/>
        <w:gridCol w:w="465"/>
        <w:gridCol w:w="466"/>
        <w:gridCol w:w="185"/>
        <w:gridCol w:w="109"/>
        <w:gridCol w:w="109"/>
        <w:gridCol w:w="109"/>
        <w:gridCol w:w="186"/>
        <w:gridCol w:w="186"/>
        <w:gridCol w:w="544"/>
      </w:tblGrid>
      <w:tr>
        <w:trPr/>
        <w:tc>
          <w:tcPr>
            <w:tcW w:w="30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5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93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$258,394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$172,217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44"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by $86.2 million, or 50%, for the three months ended March 31, 2023 compared to the three months ended March 31, 2022. This increase is primarily due to a $46.2 million, or 42%, increase in revenue from our fertility benefits solution and a $40.0 million, or 65%,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the Progyny Rx benefit. Progyny Rx went live with only a select number of clients on January 1, 2018 and has continued to add both new and existing fertility benefits solution clients since its initial launch. Our revenue growth for the three months ended March 31, 2022 was negatively impacted by COVID-19.</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 of Services</w:t>
      </w:r>
    </w:p>
    <w:tbl>
      <w:tblPr>
        <w:tblW w:w="5424" w:type="dxa"/>
        <w:jc w:val="left"/>
        <w:tblInd w:w="0" w:type="dxa"/>
        <w:tblCellMar>
          <w:top w:w="28" w:type="dxa"/>
          <w:left w:w="28" w:type="dxa"/>
          <w:bottom w:w="28" w:type="dxa"/>
          <w:right w:w="28" w:type="dxa"/>
        </w:tblCellMar>
      </w:tblPr>
      <w:tblGrid>
        <w:gridCol w:w="504"/>
        <w:gridCol w:w="444"/>
        <w:gridCol w:w="446"/>
        <w:gridCol w:w="465"/>
        <w:gridCol w:w="466"/>
        <w:gridCol w:w="185"/>
        <w:gridCol w:w="185"/>
        <w:gridCol w:w="185"/>
        <w:gridCol w:w="185"/>
        <w:gridCol w:w="465"/>
        <w:gridCol w:w="466"/>
        <w:gridCol w:w="185"/>
        <w:gridCol w:w="109"/>
        <w:gridCol w:w="109"/>
        <w:gridCol w:w="109"/>
        <w:gridCol w:w="186"/>
        <w:gridCol w:w="186"/>
        <w:gridCol w:w="544"/>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5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44"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increased by $60.5 million, or 43%, for the three months ended March 31, 2023 compared to the three months ended March 31, 2022 primarily due to an increase in medical treatment and pharmacy prescription costs associated with fertility treatments delivered. This increase in cost of services was also attributable to an increase in personnel-related costs primarily due to incremental headcount as well as a $2.0 million increase in stock-based compensation expense.</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tbl>
      <w:tblPr>
        <w:tblW w:w="5187" w:type="dxa"/>
        <w:jc w:val="left"/>
        <w:tblInd w:w="0" w:type="dxa"/>
        <w:tblCellMar>
          <w:top w:w="28" w:type="dxa"/>
          <w:left w:w="28" w:type="dxa"/>
          <w:bottom w:w="28" w:type="dxa"/>
          <w:right w:w="28" w:type="dxa"/>
        </w:tblCellMar>
      </w:tblPr>
      <w:tblGrid>
        <w:gridCol w:w="430"/>
        <w:gridCol w:w="375"/>
        <w:gridCol w:w="380"/>
        <w:gridCol w:w="413"/>
        <w:gridCol w:w="413"/>
        <w:gridCol w:w="345"/>
        <w:gridCol w:w="139"/>
        <w:gridCol w:w="139"/>
        <w:gridCol w:w="139"/>
        <w:gridCol w:w="413"/>
        <w:gridCol w:w="413"/>
        <w:gridCol w:w="345"/>
        <w:gridCol w:w="109"/>
        <w:gridCol w:w="109"/>
        <w:gridCol w:w="109"/>
        <w:gridCol w:w="186"/>
        <w:gridCol w:w="186"/>
        <w:gridCol w:w="544"/>
      </w:tblGrid>
      <w:tr>
        <w:trPr/>
        <w:tc>
          <w:tcPr>
            <w:tcW w:w="430"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$58,640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$32,949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44"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82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34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4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increased by $25.7 million, or 78%, for the three months ended March 31, 2023 compared to the three months ended March 31, 2022.</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Gross margin increased 360 basis points for the three months ended March 31, 2023 compared to the three months ended March 31, 2022, primarily due to ongoing efficiencies realized in the delivery of our care management services.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w:t>
      </w:r>
    </w:p>
    <w:tbl>
      <w:tblPr>
        <w:tblW w:w="5574" w:type="dxa"/>
        <w:jc w:val="left"/>
        <w:tblInd w:w="0" w:type="dxa"/>
        <w:tblCellMar>
          <w:top w:w="28" w:type="dxa"/>
          <w:left w:w="28" w:type="dxa"/>
          <w:bottom w:w="28" w:type="dxa"/>
          <w:right w:w="28" w:type="dxa"/>
        </w:tblCellMar>
      </w:tblPr>
      <w:tblGrid>
        <w:gridCol w:w="634"/>
        <w:gridCol w:w="558"/>
        <w:gridCol w:w="562"/>
        <w:gridCol w:w="413"/>
        <w:gridCol w:w="413"/>
        <w:gridCol w:w="185"/>
        <w:gridCol w:w="185"/>
        <w:gridCol w:w="185"/>
        <w:gridCol w:w="185"/>
        <w:gridCol w:w="413"/>
        <w:gridCol w:w="413"/>
        <w:gridCol w:w="185"/>
        <w:gridCol w:w="109"/>
        <w:gridCol w:w="109"/>
        <w:gridCol w:w="109"/>
        <w:gridCol w:w="186"/>
        <w:gridCol w:w="186"/>
        <w:gridCol w:w="544"/>
      </w:tblGrid>
      <w:tr>
        <w:trPr/>
        <w:tc>
          <w:tcPr>
            <w:tcW w:w="63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5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44"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increased by $4.3 million, or 43% for the three months ended March 31, 2023 compared to the three months ended March 31, 2022. This increase was primarily due to a $3.2 million increase in personnel-related costs attributable to an increase in stock-based compensation expense of $1.8 million, incremental headcount and an increase in sales commissions, as well as a $1.1 million increase in other related sales and marketing expenses.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w:t>
      </w:r>
    </w:p>
    <w:tbl>
      <w:tblPr>
        <w:tblW w:w="6129" w:type="dxa"/>
        <w:jc w:val="left"/>
        <w:tblInd w:w="0" w:type="dxa"/>
        <w:tblCellMar>
          <w:top w:w="28" w:type="dxa"/>
          <w:left w:w="28" w:type="dxa"/>
          <w:bottom w:w="28" w:type="dxa"/>
          <w:right w:w="28" w:type="dxa"/>
        </w:tblCellMar>
      </w:tblPr>
      <w:tblGrid>
        <w:gridCol w:w="837"/>
        <w:gridCol w:w="735"/>
        <w:gridCol w:w="737"/>
        <w:gridCol w:w="413"/>
        <w:gridCol w:w="413"/>
        <w:gridCol w:w="185"/>
        <w:gridCol w:w="185"/>
        <w:gridCol w:w="185"/>
        <w:gridCol w:w="185"/>
        <w:gridCol w:w="413"/>
        <w:gridCol w:w="413"/>
        <w:gridCol w:w="185"/>
        <w:gridCol w:w="109"/>
        <w:gridCol w:w="109"/>
        <w:gridCol w:w="109"/>
        <w:gridCol w:w="186"/>
        <w:gridCol w:w="186"/>
        <w:gridCol w:w="544"/>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5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44"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increased by $6.4 million, or 28%, for the three months ended March 31, 2023 compared to the three months ended March 31, 2022. This increase was primarily due to a $3.0 million increase in bad debt expense driven by our revenue growth, a $2.9 million increase in personnel-related costs including an increase in stock-based compensation expense of $2.5 million, as well as a $0.5 million increase in other related general and administrative expenses.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Other Income (Expense), Net</w:t>
      </w:r>
    </w:p>
    <w:tbl>
      <w:tblPr>
        <w:tblW w:w="5859" w:type="dxa"/>
        <w:jc w:val="left"/>
        <w:tblInd w:w="0" w:type="dxa"/>
        <w:tblCellMar>
          <w:top w:w="28" w:type="dxa"/>
          <w:left w:w="28" w:type="dxa"/>
          <w:bottom w:w="28" w:type="dxa"/>
          <w:right w:w="28" w:type="dxa"/>
        </w:tblCellMar>
      </w:tblPr>
      <w:tblGrid>
        <w:gridCol w:w="879"/>
        <w:gridCol w:w="774"/>
        <w:gridCol w:w="777"/>
        <w:gridCol w:w="360"/>
        <w:gridCol w:w="361"/>
        <w:gridCol w:w="185"/>
        <w:gridCol w:w="185"/>
        <w:gridCol w:w="185"/>
        <w:gridCol w:w="185"/>
        <w:gridCol w:w="269"/>
        <w:gridCol w:w="271"/>
        <w:gridCol w:w="185"/>
        <w:gridCol w:w="109"/>
        <w:gridCol w:w="109"/>
        <w:gridCol w:w="109"/>
        <w:gridCol w:w="268"/>
        <w:gridCol w:w="268"/>
        <w:gridCol w:w="380"/>
      </w:tblGrid>
      <w:tr>
        <w:trPr/>
        <w:tc>
          <w:tcPr>
            <w:tcW w:w="87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5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 net</w:t>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by $1.4 million for the three months ended March 31, 2023 compared to the three months ended March 31, 2022, primarily due to an increase in interest and investment income.</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Benefit for Income Taxes</w:t>
      </w:r>
    </w:p>
    <w:tbl>
      <w:tblPr>
        <w:tblW w:w="5818" w:type="dxa"/>
        <w:jc w:val="left"/>
        <w:tblInd w:w="0" w:type="dxa"/>
        <w:tblCellMar>
          <w:top w:w="28" w:type="dxa"/>
          <w:left w:w="28" w:type="dxa"/>
          <w:bottom w:w="28" w:type="dxa"/>
          <w:right w:w="28" w:type="dxa"/>
        </w:tblCellMar>
      </w:tblPr>
      <w:tblGrid>
        <w:gridCol w:w="776"/>
        <w:gridCol w:w="681"/>
        <w:gridCol w:w="687"/>
        <w:gridCol w:w="360"/>
        <w:gridCol w:w="361"/>
        <w:gridCol w:w="185"/>
        <w:gridCol w:w="185"/>
        <w:gridCol w:w="185"/>
        <w:gridCol w:w="185"/>
        <w:gridCol w:w="360"/>
        <w:gridCol w:w="361"/>
        <w:gridCol w:w="185"/>
        <w:gridCol w:w="109"/>
        <w:gridCol w:w="109"/>
        <w:gridCol w:w="109"/>
        <w:gridCol w:w="218"/>
        <w:gridCol w:w="218"/>
        <w:gridCol w:w="544"/>
      </w:tblGrid>
      <w:tr>
        <w:trPr/>
        <w:tc>
          <w:tcPr>
            <w:tcW w:w="776"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5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Benefit for income taxes </w:t>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544"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we recorded a benefit for income taxes of $1.3 million, as compared to a benefit for income taxes of $5.1 million for the three months ended March 31, 2022 primarily due to the higher operating profit, which was partially offset by an increase in discrete tax benefits related to higher equity compensation activity in the current year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ind w:left="0" w:right="0" w:firstLine="720"/>
        <w:jc w:val="both"/>
        <w:rPr/>
      </w:pPr>
      <w:r>
        <w:rPr>
          <w:rFonts w:ascii="Times New Roman;sans-serif" w:hAnsi="Times New Roman;sans-serif"/>
          <w:b w:val="false"/>
          <w:color w:val="000000"/>
          <w:sz w:val="20"/>
        </w:rPr>
        <w:t>As of March 31, 2023, we had $155.3 million of cash and cash equivalents and $52.6 million of marketable securities. Since inception, we have financed our operations primarily through sales of our solutions and the net proceeds we have received from sales of equity securities, including our initial public offering.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Times New Roman;sans-serif" w:hAnsi="Times New Roman;sans-serif"/>
          <w:b w:val="false"/>
          <w:color w:val="000000"/>
          <w:sz w:val="13"/>
        </w:rPr>
        <w:t>st</w:t>
      </w:r>
      <w:r>
        <w:rPr>
          <w:rFonts w:ascii="Times New Roman;sans-serif" w:hAnsi="Times New Roman;sans-serif"/>
          <w:b w:val="false"/>
          <w:color w:val="000000"/>
          <w:sz w:val="20"/>
        </w:rPr>
        <w:t xml:space="preserve">,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 </w:t>
      </w:r>
    </w:p>
    <w:p>
      <w:pPr>
        <w:pStyle w:val="TextBody"/>
        <w:spacing w:lineRule="auto" w:line="26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and cash equivalents, marketable securities, and cash flow from operations will be sufficient to support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expansion of our sales and marketing activities, and the continuing market adoption of our solutions.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prior impact on our revenue growth and the related cash flows resulting from the various restrictions on activities due to the COVID-19 pandemic, as of March 31, 2023, our sources and uses of cash were not otherwise materially impacted by the COVID-19 pandemic and, to date, we have not identified any material liquidity deficiencies as a result of the COVID-19 pandemic. Based on the information currently available to us, we do not expect the COVID-19 pandemic to have a material impact on our liquidity. We will continue to monitor and assess the impact the COVID-19 pandemic, including variants, may have on our business and financial results. 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could reduce our ability to access capital and could negatively affect our liquidity in the future. If the disruption persists and deepens, we could experience an inability to access additional capital, which could in the future negatively affect our operations. For additional information on the various risks posed by the COVID-19 pandemic, please refer to Part II, Item 1A. "Risk Factors" included in this Quarterly Report on Form 10-Q.</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from operations for the periods presented:</w:t>
      </w:r>
    </w:p>
    <w:tbl>
      <w:tblPr>
        <w:tblW w:w="6849" w:type="dxa"/>
        <w:jc w:val="left"/>
        <w:tblInd w:w="0" w:type="dxa"/>
        <w:tblCellMar>
          <w:top w:w="28" w:type="dxa"/>
          <w:left w:w="28" w:type="dxa"/>
          <w:bottom w:w="28" w:type="dxa"/>
          <w:right w:w="28" w:type="dxa"/>
        </w:tblCellMar>
      </w:tblPr>
      <w:tblGrid>
        <w:gridCol w:w="1562"/>
        <w:gridCol w:w="1374"/>
        <w:gridCol w:w="1384"/>
        <w:gridCol w:w="211"/>
        <w:gridCol w:w="721"/>
        <w:gridCol w:w="109"/>
        <w:gridCol w:w="109"/>
        <w:gridCol w:w="109"/>
        <w:gridCol w:w="109"/>
        <w:gridCol w:w="211"/>
        <w:gridCol w:w="796"/>
        <w:gridCol w:w="154"/>
      </w:tblGrid>
      <w:tr>
        <w:trPr/>
        <w:tc>
          <w:tcPr>
            <w:tcW w:w="1562"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 investing activities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(52,592)</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$21.0 million for the three months ended March 31, 2023, primarily consisting of net income of $17.7 million adjusted for certain items, which include $30.8 million of stock-based compensation expense, $5.2 million of bad debt expense, $1.3 million of deferred tax benefit, $0.5 million of depreciation and amortization, and $0.5 million of realized gains on the sale of marketable securities. Changes in operating assets and liabilities resulted in cash used in operating activities from increases in accounts receivable of $78.4 million and prepaid expenses and other current assets of $1.5 million, partially offset by cash provided by operating activities from increases in accounts payable of $36.4 million, accrued expenses and other current liabilities of $11.8 million, and other noncurrent assets and liabilities of $0.2 million. These changes were a result of the impact of revenue growth and our operating results as well as the timing of cash collections and payments to third parties.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$11.3 million for the three months ended March 31, 2022, primarily consisting of net income of $5.0 million adjusted for certain non-cash items, which include $24.5 million of stock-based compensation expense, $5.2 million of deferred tax benefit, $2.3 million of bad debt expense, and $0.4 million of depreciation and amortization. Changes in operating assets and liabilities resulted in cash used in operating activities from an increase in accounts receivable of $65.8 million, other noncurrent assets and liabilities of $1.4 million and prepaid expenses and other current assets of $0.7 million, partially offset by cash provided by operating activities from increases in accounts payable of $23.2 million and accrued expenses and other current liabilities of $6.5 million. These changes were a result of the impact of revenue growth and our operating results as well as the timing of cash collections and payments to third parties.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$16.1 million for the three months ended March 31, 2023, which primarily consisted of net proceeds from marketable securities of $17.4 million. Net cash used in investing activities was $39.6 million for the three months ended March 31, 2022, which primarily consisted of net investments in marketable securities of $38.8 million. The remainder of the activity for each of the three months ended March 31, 2023 and March 31, 2022 consisted of purchases of computers, software, including capitalized software development costs, and leasehold improvements.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240" w:after="283"/>
        <w:ind w:left="0" w:right="0" w:firstLine="720"/>
        <w:jc w:val="both"/>
        <w:rPr/>
      </w:pPr>
      <w:r>
        <w:rPr>
          <w:rFonts w:ascii="Times New Roman;sans-serif" w:hAnsi="Times New Roman;sans-serif"/>
          <w:b w:val="false"/>
          <w:color w:val="000000"/>
          <w:sz w:val="20"/>
        </w:rPr>
        <w:t>Net cash used in financing activities was $1.8 million for the three months ended March 31, 2023, consisting of payments of $3.8 million for employee taxes related to equity awards, partially offset by $1.7 million in proceeds from stock option exercises and $0.3 million in proceeds from contributions to our employee stock purchase plan.</w:t>
      </w:r>
      <w:r>
        <w:rPr>
          <w:color w:val="FF0000"/>
        </w:rPr>
        <w:t xml:space="preserve">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cash used in financing activities was $1.8 million for the three months ended March 31, 2022, consisting of payments of $3.0 million for employee taxes related to equity awards, partially offset by $0.8 million in proceeds from stock option exercises and $0.4 million in proceeds from contributions to our employee stock purchase plan.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Lease Commitments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2019, we commenced a sublease agreement for our corporate offices in New York, New York. The sublease is for a 25,212 square foot office and will expire in May 2029. Pursuant to the sublease, we will pay the base rent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approximately $1.3 million per year through the end of the fifth lease year and approximately $1.4 million per year thereafter through the expiration date.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we entered into a lease agreement for additional space in our corporate offices in New York, New York, consisting of a 24,099 square foot office and a 21,262 square foot office, and also for continued occupancy of the 25,212 square foot office after the expiration of the current sublease. For the 24,099 square foot office, we will pay the base rent of approximately $1.4 million per year starting in April 2024 for five years and approximately $1.5 million per year thereafter through the fourth quarter of 2035, the expected expiration date. For the 21,262 square foot office, we will pay the base rent of approximately $1.3 million starting in the fourth quarter of 2025 for five years and approximately $1.4 million per year thereafter through the fourth quarter of 2035, the expected expiration date. For our current 25,212 square foot office, we will pay the base rent of approximately $1.6 million per year beginning in June 2029 through the fourth quarter of 2035, the expected expiration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accompanying notes have been prepared in accordance with U.S. GAAP. The preparation of these consolidated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about our critical accounting policies and estimates, see the disclosure included in our Annual Report on Form 10-K as well as "Financial Statements (Unaudited) — Note 1 – Business and Basis of Presentation" and "Financial Statements (Unaudited) — Note 2 – Significant Accounting Policies" in the notes to the unaudited consolidated financial statements included in Part I, Item 1 of this Quarterly Report on Form 10-Q. There have been no material changes to the Company’s critical accounting policies and estimates since our Annual Report on Form 10-K.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full discussion of recently adopted accounting pronouncements, see "Financial Statements (Unaudited) —Note 2 – Significant Accounting Policies", to the consolidated financial statements included in Part I, Item 1 of this Quarterly Report on Form 10-Q.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4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w:t>
      </w:r>
    </w:p>
    <w:p>
      <w:pPr>
        <w:pStyle w:val="TextBody"/>
        <w:spacing w:lineRule="auto" w:line="276" w:before="0" w:after="240"/>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spacing w:lineRule="auto" w:line="288" w:before="24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Interest rate risk is highly sensitive due to many factors, including U.S. monetary and tax policies, U.S. and international economic factors and other factors beyond our control.</w:t>
      </w:r>
    </w:p>
    <w:p>
      <w:pPr>
        <w:pStyle w:val="TextBody"/>
        <w:spacing w:lineRule="auto" w:line="276"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we had cash and cash equivalents of $155.3 million and marketable securities of $52.6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Inflation Rate Risk </w:t>
      </w:r>
    </w:p>
    <w:p>
      <w:pPr>
        <w:pStyle w:val="TextBody"/>
        <w:spacing w:lineRule="auto" w:line="288" w:before="24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TextBody"/>
        <w:spacing w:before="0" w:after="24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(as that term is defined in Rules 13a-15(e) and 15d-15(e) under the Securities Exchange Act of 1934, as amended, or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March 31, 2023.</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(as that term is defined in Rules 13a-15(f) and 15d-15(f) under the Exchange Act) that occurred during the quarter ended March 31, 2023 that materially affected, or are reasonably likely to materially affect,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See Part I, Item 1 “Financial Statements (Unaudited) — Note 6 — Commitments and Contingencies.”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color w:val="000000"/>
          <w:sz w:val="20"/>
        </w:rPr>
        <w:t>RISK FACTORS</w:t>
      </w:r>
      <w:r>
        <w:rPr>
          <w:color w:val="000000"/>
        </w:rPr>
        <w:t xml:space="preserve">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in our common stock involves a high degree of risk. You should carefully consider all of the information contained in this Quarterly Report on Form 10-Q, including the sections titled “Cautionary Note Regarding Forward-Looking Statements” and Part I, Item 2. “Management’s Discussion and Analysis of Financial Condition and Results of Operations” and our unaudited consolidated financial statements and the accompanying notes included elsewhere in this Quarterly Report on Form 10-Q.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fail to meet our publicly announced guidance or other expectations about our business and future results of operations, which would cause our stock price to decline.</w:t>
      </w:r>
    </w:p>
    <w:p>
      <w:pPr>
        <w:pStyle w:val="TextBody"/>
        <w:spacing w:lineRule="auto" w:line="276" w:before="240" w:after="240"/>
        <w:ind w:left="0" w:right="0" w:firstLine="720"/>
        <w:jc w:val="both"/>
        <w:rPr/>
      </w:pPr>
      <w:r>
        <w:rPr>
          <w:rFonts w:ascii="Times New Roman;sans-serif" w:hAnsi="Times New Roman;sans-serif"/>
          <w:b w:val="false"/>
          <w:color w:val="000000"/>
          <w:sz w:val="20"/>
        </w:rPr>
        <w:t xml:space="preserve">We have provided and may continue to provide guidance about our business and future results of operations. On May 8, 2023, we issued guidance for the second quarter of 2023 and full year 2023. </w:t>
      </w:r>
      <w:r>
        <w:rPr>
          <w:rFonts w:ascii="Times New Roman;sans-serif" w:hAnsi="Times New Roman;sans-serif"/>
          <w:b w:val="false"/>
          <w:color w:val="000000"/>
          <w:sz w:val="20"/>
          <w:highlight w:val="white"/>
        </w:rPr>
        <w:t>This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this guidance, our management must make certain assumptions and judgments, including but not limited to, our business strategy, plans, goals, expectations concerning our market position, future operations and other financial and operating information, as well as the impact of events outside of our control (such as the COVID-19 pandemic or shortages of fertility medications) that are or were at this time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and which could adversely affect our business and future results of operations. Furthermore,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The COVID-19 pandemic, including variants and resurgences, has had and is expected to continue to have, and similar health epidemics or pandemics could in the future have, an adverse impact on our business, operations, and the markets and communities in which we and our clients, members and providers operate.</w:t>
      </w:r>
    </w:p>
    <w:p>
      <w:pPr>
        <w:pStyle w:val="TextBody"/>
        <w:spacing w:lineRule="auto" w:line="276"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continues to evolve, with pockets of resurgence and the emergence of variant strains contributing to continued uncertainty about its scope, duration, severity, trajectory and lasting impact. The pandemic has adversely impacted, and may continue to adversely impact, many aspects of our business. Our revenue growth for the three months ended March 31, 2022 was negatively impacted by COVID-19, including variants, and our revenue growth in future periods may continue to be adversely impacted by COVID-19. Our providers have delayed and may in the future delay new fertility cycles because they operate in areas acutely affected by the COVID-19 pandemic. Many of our members live in communities that have been acutely affected by the COVID-19 pandemic and have delayed and may not want to continue or begin new fertility cycles during the pandemic, including due to resurgences in and the emergence of variant strains. Emerging research and the limited consumer information on the impact of COVID-19 vaccines on pregnancy may also affect member behavior and utilization. Furthermore, as certain of our potential clients experience downturns or uncertainty in their own business operations and revenue because of the economic effects resulting from the COVID-19 pandemic, they have and may continue to decrease their spending on health benefits, which may disproportionately impact fertility benefits, and delay or cancel implementation of fertility benefits. Each of these factors could affect member behavior, our utilization rates and the number of members enrolled in our clients’ benefit plans.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76" w:before="240" w:after="24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to the direct and indirect impacts to our business, the economy may continue to be impacted as a result of the COVID-19 pandemic, including any resurgences in infections, and actions taken in response to it. To the extent a weakened economy impacts clients’ or members’ ability or willingness to pay for our benefit, or our vendors’, including any pharmacy program partners’, ability to provide services to us, we could see our business and results of operations negatively impacted.</w:t>
      </w:r>
    </w:p>
    <w:p>
      <w:pPr>
        <w:pStyle w:val="TextBody"/>
        <w:spacing w:lineRule="auto" w:line="276" w:before="240" w:after="24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corporate offices are open to employees on a hybrid basis, while implementing additional health and safety measures and protocols in response to the pandemic. We may take further actions that alter our operations as may be required by federal, state, or local authorities, or which we determine are in the best interests of our business, our employees and the communities we serve. Working remotely could increase our cybersecurity risk and make us more susceptible to communication disruptions, which could adversely impact our business operations or delay necessary interactions with our clients, members, providers and other third parties. Furthermore, we may decide to postpone or cancel planned investments in our business in response to changes in our business as a result of the COVID-19 pandemic, which may impact our member utilization and rate of growth, either of which could seriously harm our business. </w:t>
      </w:r>
    </w:p>
    <w:p>
      <w:pPr>
        <w:pStyle w:val="TextBody"/>
        <w:spacing w:lineRule="auto" w:line="276"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pandemic has resulted in, and may continue to result in, significant disruption of global financial markets, which could reduce our ability to access capital and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w:t>
      </w:r>
    </w:p>
    <w:p>
      <w:pPr>
        <w:pStyle w:val="TextBody"/>
        <w:spacing w:lineRule="auto" w:line="276"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impact of COVID-19, due to variants and resurgences of infections, continues to rapidly evolve, and we will continue to monitor the situation closely. We do not yet know the full extent of potential delays or impacts on our business, operations, or the global economy as a whole. The ultimate impact of the COVID-19 pandemic or a similar health epidemic or pandemic is highly uncertain and subject to change; and will depend on numerous evolving factors that we may not be able to accurately predict, including without limitation: the trajectory, duration, scope, severity, and any resurgences of the COVID-19 pandemic; any mandates, in particular as new variants emerge; the public’s perception of the safety of the vaccines and other treatments and their willingness to take the vaccines or other treatments; the existence and prevalence of new variants of the virus; the continued impact on worldwide macroeconomic conditions, including interest rates, employment rates and consumer confidence; governmental, business, and individuals' actions that have been, and continue to be, taken in response to the pandemic; the effect on our providers, clients and members; changes in demand for our services; our ability to sell and provide our services; the ability of our clients and members to pay for our services; the health of, and the effect on, our workforce; and the potential effects on our internal controls, including our internal control over financial reporting, as a result of changes in working environments for our employees and business partners. While the effects of the COVID-19 pandemic may eventually be contained or mitigated, there is no guarantee that any future resurgences or future outbreaks of this or any other widespread epidemics or pandemics will not occur, or that the global economy will recover, either of which could seriously harm our business.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fertility market in which we participate is competitive, and if we do not continue to compete effectively, our results of operations could be harmed.</w:t>
      </w:r>
    </w:p>
    <w:p>
      <w:pPr>
        <w:pStyle w:val="TextBody"/>
        <w:spacing w:lineRule="auto" w:line="288" w:before="240" w:after="283"/>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as to what we provide, there are alternative solutions in the market such as the health insurance companies who are able to provide fertility benefits management services as part of their overall administration of a company's health plan and who are our primary competition. In addition, other competitors include specialty fertility-focused solutions owned or sponsored by the health insurance companies to provide more comprehensive support to fertility patients than their general medical coverage provides, such as case management or educational support, and the venture capital or private equity-backed companies who focus on maternity and reproductive health services more broadly, or who provide fertility-specific benefits solutions.</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As we market our solutions to potential clients that currently utilize other vendors to manage their employees’ fertility benefits, we may fail to convince their internal stakeholders that our offerings and our model are superior to their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Many healthcare industry participants are consolidating to create larger and more integrated healthcare delivery systems with greater market power and we expect regulatory and economic conditions to result in additional consolidation in the healthcare industry. Additionally, financial investors are acquiring fertility practices and this may accelerate consolidation within the industry. Although comprehensive, our solution is a standalone fertility benefit. Clients may prefer a single healthcare solution, which could adversely affect our ability to retain existing clients or grow our client base. In addition, we work with partner organizations to market our benefit to potential clients. As consolidation accelerates, the economies of scale of our partners’ organizations may grow. If a partner experiences sizable growth following consolidation, it may determine that it no longer needs to rely on us and may reduce its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have a material adverse effect on our business, financial condition and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Unfavorable conditions in the global economy or our industry could limit our ability to grow our business and negatively affect our results of operations.</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Market volatility and uncertainty related to general economic conditions remain widespread, making it very difficult for our clients and us to accurately forecast and plan future business activities. Negative conditions in the general economy in the United States, including conditions resulting from changes in gross domestic product growth, financial and credit market fluctuations, inflation, consumer confidence, international trade relations, political turmoil, natural catastrophes, resurgences or outbreaks of contagious diseases or the worsening thereof, including the COVID-19 pandemic, warfare and terrorist attacks on the United States, could cause a decrease in business investments, including spending on employee benefits, and negatively affect the growth of our business. Economic conditions including inflation, interest rate fluctuations, changes in capital market conditions and regulatory changes, such as the taxability of medical benefits like ours, may affect our ability to obtain necessary financing on acceptable terms.</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 xml:space="preserve">Unfavorable changes in our industry, including reductions in general healthcare spending, or in the United States economy could have a negative effect on our and our clients’ and potential clients’ results of operations. This could result in the delay or cancellation by certain clients, including if purchases of our solution are perceived by clients and potential clients to be discretionary, if they experience a reduction in their employee headcounts, whether due to reductions in force or turnover, or are unable to grow employee headcounts or there are material defaults by members on past amounts due. An increase in the cost of obtaining fertility medication or general medical cost inflation could also negatively impact our results of operation. In addition, the increased pace of consolidation in the healthcare industry may result in competitors with greater market power. </w:t>
      </w:r>
      <w:r>
        <w:rPr>
          <w:rFonts w:ascii="Times New Roman;sans-serif" w:hAnsi="Times New Roman;sans-serif"/>
          <w:b w:val="false"/>
          <w:color w:val="000000"/>
          <w:sz w:val="20"/>
        </w:rPr>
        <w:t>Many economists believe the global economy will likely experience a recessionary environment in the near future.</w:t>
      </w:r>
      <w:r>
        <w:rPr>
          <w:color w:val="000000"/>
          <w:highlight w:val="white"/>
        </w:rPr>
        <w:t xml:space="preserve"> </w:t>
      </w:r>
      <w:r>
        <w:rPr>
          <w:rFonts w:ascii="Times New Roman;sans-serif" w:hAnsi="Times New Roman;sans-serif"/>
          <w:b w:val="false"/>
          <w:color w:val="000000"/>
          <w:sz w:val="20"/>
        </w:rPr>
        <w:t xml:space="preserve">The Federal Reserve’s efforts to tame inflation have led to, and may continue to lead to, increased interest rates. A significant escalation or expansion of economic disruption could have a material adverse effect on our results of operations. </w:t>
      </w:r>
      <w:r>
        <w:rPr>
          <w:rFonts w:ascii="Times New Roman;sans-serif" w:hAnsi="Times New Roman;sans-serif"/>
          <w:b w:val="false"/>
          <w:color w:val="000000"/>
          <w:sz w:val="20"/>
          <w:highlight w:val="white"/>
        </w:rPr>
        <w:t>We cannot predict the timing, strength, or duration of any economic slowdown, instability, or recovery, generally or within any particular industry, nor its impact on us or our clients.</w:t>
      </w:r>
    </w:p>
    <w:p>
      <w:pPr>
        <w:pStyle w:val="TextBody"/>
        <w:spacing w:before="240" w:after="283"/>
        <w:jc w:val="both"/>
        <w:rPr/>
      </w:pPr>
      <w:r>
        <w:rPr/>
      </w:r>
    </w:p>
    <w:p>
      <w:pPr>
        <w:pStyle w:val="TextBody"/>
        <w:spacing w:before="240" w:after="283"/>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retain our existing clients and increase the adoption of our services within our client base. Any failure to do so would harm our business, financial condition and results of operations.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In addition, our fertility benefits solution clients can purchase our add-on Progyny Rx solution. We went live with Progyny Rx in 2018 and 90% of our current clients have now launched this solution, including approximately 97% of the clients we signed in 2022.</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Factors that may affect our ability to retain our existing clients and sell additional solutions to them include, but are not limited to, the following: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price, timeliness and outcomes of our solutions;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availability, price, timeliness, outcome, performance and functionality of competing solutions;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maintain and appropriately expand our Center of Excellence network of high-quality fertility specialists;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our ability to offer complementary solutions and services that will enhance our comprehensive family building offering;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healthcare laws, regulations or the enforcement of such laws and regulations, or trends;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material increase in unemployment rate;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global economic conditions and the business environment of our clients and, in particular, slowing growth or reduction in our clients’ headcount;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consolidation of our clients, resulting in a change to their benefits program or a shift to one of our competitors.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above factors, alone or together, could negatively affect our ability to retain existing clients and sell additional solutions to them, which would have an adverse effect on our business, revenue growth and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 </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 xml:space="preserve">We currently serve over </w:t>
      </w:r>
      <w:r>
        <w:rPr>
          <w:rFonts w:ascii="Times New Roman;sans-serif" w:hAnsi="Times New Roman;sans-serif"/>
          <w:b w:val="false"/>
          <w:color w:val="000000"/>
          <w:sz w:val="20"/>
        </w:rPr>
        <w:t>370</w:t>
      </w:r>
      <w:r>
        <w:rPr>
          <w:color w:val="000000"/>
          <w:highlight w:val="white"/>
        </w:rPr>
        <w:t xml:space="preserve"> </w:t>
      </w:r>
      <w:r>
        <w:rPr>
          <w:rFonts w:ascii="Times New Roman;sans-serif" w:hAnsi="Times New Roman;sans-serif"/>
          <w:b w:val="false"/>
          <w:color w:val="000000"/>
          <w:sz w:val="20"/>
          <w:highlight w:val="white"/>
        </w:rPr>
        <w:t xml:space="preserve">employers with at least 1,000 covered lives in the United States across more than 40 industries. For the three months ended March 31, 2023, one of our clients accounted for 13% of our total revenue. For the three months ended March 31, 2022, </w:t>
      </w:r>
      <w:r>
        <w:rPr>
          <w:rFonts w:ascii="Times New Roman;sans-serif" w:hAnsi="Times New Roman;sans-serif"/>
          <w:b w:val="false"/>
          <w:color w:val="000000"/>
          <w:sz w:val="20"/>
        </w:rPr>
        <w:t>two</w:t>
      </w:r>
      <w:r>
        <w:rPr>
          <w:color w:val="000000"/>
          <w:highlight w:val="white"/>
        </w:rPr>
        <w:t xml:space="preserve"> </w:t>
      </w:r>
      <w:r>
        <w:rPr>
          <w:rFonts w:ascii="Times New Roman;sans-serif" w:hAnsi="Times New Roman;sans-serif"/>
          <w:b w:val="false"/>
          <w:color w:val="000000"/>
          <w:sz w:val="20"/>
          <w:highlight w:val="white"/>
        </w:rPr>
        <w:t>of our clients accounted for 17% and 12%, or a combined 29%, of our total revenue. No other clients accounted for more than 10% of our total revenue for the three months ended March 31, 2023 and 2022. Engagement with these clients is generally covered through contracts that are multi-year in duration. These clients may terminate early or decline to renew their existing contracts with us upon expiration and any such termination or failure to renew could have a negative impact on our revenue and compromise our growth strategy. Our clients could also renegotiate pricing terms at the time of renewal, which could have a negative impact on our revenue. In addition, we generate a significant portion of our revenue from clients in the technology industry. Any of a variety of changes in that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If we are unable to attract new clients, our business, financial condition and results of operations would be adversely affected.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quality solutions and convince clients of the benefits of our model and value proposition, we may not be able to attract new clients. The market for our solutions could decline or grow more slowly than we expect, including due to general economic conditions, and high unemployment rates, reductions in workforce or employee attrition, impacts related to outbreaks and resurgences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 significant change in the level or the mix of the utilization of our solutions could have an adverse effect on our business, financial condition and results of operations.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do not control nor can we impact the level of utilization of our solutions or the mix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impacts related to outbreaks and resurgence of contagious diseases and or the worsening thereof, including the COVID-19 pandemic; employers no longer offering comprehensive health coverage or offering alternative solutions such as coverage on a voluntary, employee-funded basis; labor shortages at our clinics; federal and state legal and/or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negative publicity, through social media or otherwise and news coverage.</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It is also difficult for us to predict the level or mix of utilization of our services at the member level nor do we have any control over the level or mix of utilization of our services.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a limited operating history with our current platform of solutions, which makes it difficult to predict our future results of operations.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have a history of operating losses and may not sustain profitability in the future.</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family building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offering. We will also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or developments in the health insurance markets in the United States, including passage and implementation of a law to create a single-payer or government-run health insurance program, could adversely harm our business and results of operations.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healthcare system at the state level are regularly introduced, such as in New York and California. At the federal level, President Biden and Congress may consider other legislation and/or executive orders to change elements of the ACA. In June 2021, the U.S. Supreme Court dismissed the most recent judicial challenge to the ACA brought by several states and ruled that the plaintiffs lacked standing to challenge the individual mandate provision, thus leaving the ACA in effect without ruling on the constitutionality of the individual mandate.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January 28, 2021, President Biden issued an Executive Order that iterates the policy of the Administration to protect and strengthen the ACA, making high-quality healthcare accessible and affordable to all Americans. The Executive Order directed federal agencies to examine agency actions to determine whether they are consistent with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has on our business. We cannot predict the timing or impact of any future rulemaking, court decisions or other changes in the law.</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The health benefits industry may be subject to negative publicity, which could adversely affect our business, financial condition and results of operations.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pPr>
      <w:r>
        <w:rPr>
          <w:rFonts w:ascii="Times New Roman;sans-serif" w:hAnsi="Times New Roman;sans-serif"/>
          <w:b/>
          <w:i/>
          <w:color w:val="000000"/>
          <w:sz w:val="20"/>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r>
        <w:rPr>
          <w:rFonts w:ascii="Times New Roman;sans-serif" w:hAnsi="Times New Roman;sans-serif"/>
          <w:b w:val="false"/>
          <w:i/>
          <w:color w:val="000000"/>
          <w:sz w:val="20"/>
        </w:rPr>
        <w:t xml:space="preserve">.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our provider clinics, specialty pharmacies or other vendors have an issue with our or their respective information technology systems, it may result in a disruption to our operations or downstream disruption to our relationships with our clients or our selective network of high-quality fertility specialists. Additionally, if we choose to in source any of the services currently handled by a third party, it may result in technological or operational disruptions.</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There is the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especially due to the COVID-19 pandemic, including its variants. As a result of such shift, there have been and may continue to be more targeted cybersecurity attacks and threats on us, our vendors, provider clinics and specialty pharmacies. Despite the implementation of security measures, including steps designed to secure our technology infrastructure and sensitive data, we can provide no assurance that our current information technology system or any updates or upgrades thereto, the current or future information technology systems of our provider clinics, specialty pharmacies or other vendors, are fully protected against malicious intrusion, malware, computer viruses, unauthorized access, natural disasters, terrorism, war, telecommunication and electrical failures, information or data theft or other similar risks.</w:t>
      </w:r>
      <w:r>
        <w:rPr>
          <w:color w:val="000000"/>
        </w:rPr>
        <w:t xml:space="preserve"> </w:t>
      </w:r>
      <w:r>
        <w:rPr>
          <w:rFonts w:ascii="Times New Roman;sans-serif" w:hAnsi="Times New Roman;sans-serif"/>
          <w:b w:val="false"/>
          <w:color w:val="000000"/>
          <w:sz w:val="20"/>
        </w:rPr>
        <w:t xml:space="preserve">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 xml:space="preserve">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w:t>
      </w:r>
      <w:r>
        <w:rPr>
          <w:rFonts w:ascii="Times New Roman;sans-serif" w:hAnsi="Times New Roman;sans-serif"/>
          <w:b w:val="false"/>
          <w:color w:val="000000"/>
          <w:sz w:val="20"/>
        </w:rPr>
        <w:t xml:space="preserve">We maintain cyber liability insurance however, this insurance may not be sufficient to cover the financial, legal, business or reputational losses that may result from an interruption or breach of our systems. </w:t>
      </w:r>
      <w:r>
        <w:rPr>
          <w:rFonts w:ascii="Times New Roman;sans-serif" w:hAnsi="Times New Roman;sans-serif"/>
          <w:b w:val="false"/>
          <w:color w:val="000000"/>
          <w:sz w:val="20"/>
          <w:highlight w:val="white"/>
        </w:rPr>
        <w:t>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 -We operate in a highly regulated industry and must comply with a significant number of complex and evolving legal and regulatory requirements- Data Protection and Breaches.”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offer high-quality support, our reputation could suffer.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marketing efforts depend significantly on our ability to receive positive references from our existing clients, channel partners and benefit consultants. </w:t>
      </w:r>
    </w:p>
    <w:p>
      <w:pPr>
        <w:pStyle w:val="TextBody"/>
        <w:spacing w:lineRule="auto" w:line="288" w:before="240" w:after="283"/>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marketing efforts depend significantly on our ability to call on our current clients, channel partners and benefit consultants to provide positive references to new, potential clients. Given our limited number of long-term clients, the loss or dissatisfaction of any client, channel partnership or benefit consulting relationship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Failure to effectively develop and expand our marketing and sales capabilities could harm our ability to increase our client base and achieve broader market acceptance of solutions we provide.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future revenue may not grow at the rates they historically have, or at all.</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continue to attract new clients and maintain existing clients;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price our solutions and services effectively so that we are able to attract new clients, expand sales to our existing clients and maintain profitability;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provide our clients and members with client support that meets their needs, including through dedicated PCAs;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maintain successful collection of member cost shares and other applicable receivable balances directly from members;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retain and maintain relationships with high-quality and respected fertility specialists;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attract and retain highly qualified personnel to support all clients and members;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maintain satisfactory relationships with insurance carriers;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increase awareness of our brand and successfully compete with other companies.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we expect to continue to expend substantial financial and other resources 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sales and marketing;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technology infrastructure, including systems architecture, scalability, availability, performance and security;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general administration, including increased legal and accounting expenses associated with being a public company.</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revenue growth does not meet our expectations in future periods, we may not maintain profitability in the future, our business, financial position and results of operations may be harmed.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the estimates and assumptions we use to determine the size of the target markets for our services are inaccurate, our future growth rate may be impacted and our business would be harmed.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 xml:space="preserve">Additionally, in June 2022 the U.S. Supreme Court in </w:t>
      </w:r>
      <w:r>
        <w:rPr>
          <w:rFonts w:ascii="Times New Roman;sans-serif" w:hAnsi="Times New Roman;sans-serif"/>
          <w:b w:val="false"/>
          <w:i/>
          <w:color w:val="000000"/>
          <w:sz w:val="20"/>
          <w:highlight w:val="white"/>
        </w:rPr>
        <w:t>Dobbs v. Jackson Women's Health Organization</w:t>
      </w:r>
      <w:r>
        <w:rPr>
          <w:color w:val="000000"/>
          <w:highlight w:val="white"/>
        </w:rPr>
        <w:t xml:space="preserve"> </w:t>
      </w:r>
      <w:r>
        <w:rPr>
          <w:rFonts w:ascii="Times New Roman;sans-serif" w:hAnsi="Times New Roman;sans-serif"/>
          <w:b w:val="false"/>
          <w:color w:val="000000"/>
          <w:sz w:val="20"/>
          <w:highlight w:val="white"/>
        </w:rPr>
        <w:t xml:space="preserve">reversed </w:t>
      </w:r>
      <w:r>
        <w:rPr>
          <w:rFonts w:ascii="Times New Roman;sans-serif" w:hAnsi="Times New Roman;sans-serif"/>
          <w:b w:val="false"/>
          <w:i/>
          <w:color w:val="000000"/>
          <w:sz w:val="20"/>
        </w:rPr>
        <w:t xml:space="preserve">Roe v. Wade </w:t>
      </w:r>
      <w:r>
        <w:rPr>
          <w:rFonts w:ascii="Times New Roman;sans-serif" w:hAnsi="Times New Roman;sans-serif"/>
          <w:b w:val="false"/>
          <w:color w:val="000000"/>
          <w:sz w:val="20"/>
        </w:rPr>
        <w:t>by holding that there is no constitutional right to abortion. Consequently,</w:t>
      </w:r>
      <w:r>
        <w:rPr>
          <w:color w:val="000000"/>
          <w:highlight w:val="white"/>
        </w:rPr>
        <w:t xml:space="preserve"> </w:t>
      </w:r>
      <w:r>
        <w:rPr>
          <w:rFonts w:ascii="Times New Roman;sans-serif" w:hAnsi="Times New Roman;sans-serif"/>
          <w:b w:val="false"/>
          <w:color w:val="000000"/>
          <w:sz w:val="20"/>
          <w:highlight w:val="white"/>
        </w:rPr>
        <w:t>certain states have enacted or proposed restrictive abortion laws that may also implicate fertility procedures and travel reimbursement programs, which may decrease the demand for, or availability of, certain fertility services. Although President Biden issued executive orders and federal agencies have issued guidance intended to protect access to reproductive healthcare services, the enactment of certain state laws restricting abortion care may conflict with, and ultimately limit, the covered benefits offered by a company to its employees and the types of fertility treatment services available at provider clinics. We cannot predict the timing or impact of any future rulemaking, executive orders, court decisions or other changes in the law, or in how such laws, once enacted, would be interpreted and enforced.</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If fertility benefits management or pharmacy benefits management do not continue to achieve market acceptance, or if there is a reduction in demand caused by a lack of client or member acceptance, a reduction in employers’ focus on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 </w:t>
      </w:r>
    </w:p>
    <w:p>
      <w:pPr>
        <w:pStyle w:val="TextBody"/>
        <w:spacing w:lineRule="auto" w:line="288" w:before="240" w:after="283"/>
        <w:jc w:val="both"/>
        <w:rPr/>
      </w:pPr>
      <w:r>
        <w:rPr>
          <w:rFonts w:ascii="Times New Roman;sans-serif" w:hAnsi="Times New Roman;sans-serif"/>
          <w:b/>
          <w:i/>
          <w:color w:val="000000"/>
          <w:sz w:val="20"/>
        </w:rPr>
        <w:t>We may not be able to successfully manage our growth, and if we are not able to grow efficiently, our business, financial condition and results of operations could be harmed</w:t>
      </w:r>
      <w:r>
        <w:rPr>
          <w:rFonts w:ascii="Times New Roman;sans-serif" w:hAnsi="Times New Roman;sans-serif"/>
          <w:b/>
          <w:color w:val="000000"/>
          <w:sz w:val="20"/>
        </w:rPr>
        <w:t xml:space="preserve">.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experiences seasonality, which may cause fluctuations in our sales and results of operations. </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Our business experiences moderate seasonality in revenue with a slightly higher proportion of revenue during the second half of the year as compared with the first half. Given that the majority of our clients contract with us for a January 1</w:t>
      </w:r>
      <w:r>
        <w:rPr>
          <w:rFonts w:ascii="Times New Roman;sans-serif" w:hAnsi="Times New Roman;sans-serif"/>
          <w:b w:val="false"/>
          <w:color w:val="000000"/>
          <w:sz w:val="13"/>
          <w:highlight w:val="white"/>
        </w:rPr>
        <w:t>st</w:t>
      </w:r>
      <w:r>
        <w:rPr>
          <w:color w:val="000000"/>
          <w:highlight w:val="white"/>
        </w:rPr>
        <w:t xml:space="preserve"> </w:t>
      </w:r>
      <w:r>
        <w:rPr>
          <w:rFonts w:ascii="Times New Roman;sans-serif" w:hAnsi="Times New Roman;sans-serif"/>
          <w:b w:val="false"/>
          <w:color w:val="000000"/>
          <w:sz w:val="20"/>
          <w:highlight w:val="white"/>
        </w:rPr>
        <w:t>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our new solutions and services are not adopted by our clients or members, or if we fail to innovate and develop new offerings that are adopted by our clients, our revenue and results of operations may be adversely affected.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 date, we have derived a substantial majority of our revenue from sales of our fertility benefits and Progyny Rx solutions. As we operate in an evolving industry and new markets,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adapt and respond effectively to the changing medical landscape, changing laws, regulations and government enforcement priorities, changing client needs, requirements or preferences, our offerings may become less competitive.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If we fail to maintain and enhance our brand, our ability to expand our client base will be impaired and our business, financial condition and results of operations may suffer.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retain and motivate members of our management team or other key employees, or fail to attract additional qualified personnel to support our operations, our business and future growth prospects could be harmed.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success and future growth depend largely upon the continued services of our management team and our other key employees, and on our ability to continue to identify, attract, develop, integrate and retain them. From time to time, there are changes in our executive management team or other key employees. Our executive officers and other key employees are employed on an at-will basis, which means that these personnel could terminate their employment with us at any time. The loss of one or more of our executive officers or other key employees, or the failure by our executive team to effectively work with our employees and lead our company could in the future harm our business.</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us being required to offer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Additionally, our performance also depends in part on the successful integration of newly hired executive officers or other key employees into their roles.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cannot maintain our company culture as we grow, our success and our business and competitive position may be harmed.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our culture has been a key contributor to our success to date and that the critical nature of the mission we are pursuing promotes a sense of greater purpose and fulfillment in our employees. We have invested substantial time and resources in building our culture, and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pStyle w:val="TextBody"/>
        <w:spacing w:before="240" w:after="283"/>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Any litigation against us could be costly and time-consuming to defend and could harm our business, financial condition and results of operations.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 might not cover litigation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Risks Related to Our Relationships with Third Parties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success is dependent upon our continued ability to maintain a selective Center of Excellence, our proprietary, credentialed network of high-quality fertility specialists. Fertility specialists and our other network providers could refuse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and may change the competitive landscape. Such organizations or groups of healthcare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From time to time, our network providers may assert, or threaten to assert, claims seeking to terminate our contractual arrangements. If enough provider agreements were terminated, such terminations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In addition, regardless of whether any such lawsuits brought against us are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successful or have merit, they will be time-consuming and costly, and could have an adverse impact on our reputation. As a result, under such circumstances, we may be unable to operate our business effectively.</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it could result in us incurring substantial additional expenses, expose us to public scrutiny, adversely affect our brand and reputation, expose us to litigation and/or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growth depends in part on the success of our strategic relationships with, and monitoring of, third parties, including channel partners, vendors, as well as insurance carriers.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order to grow our business, we anticipate that we will continue to depend on our relationships with third parties, including channel partners, vendors and insurance carriers among others.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pStyle w:val="TextBody"/>
        <w:spacing w:lineRule="auto" w:line="288" w:before="240" w:after="283"/>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our arrangements with these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maintain an efficient pharmacy distribution network or if there is a disruption to our network of specialty pharmacies or their supply chains, our business, financial condition and results of operations could suffer.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timely delivery of fertility prescriptions is essential for fertility treatments. If prescriptions are delivered late or become unavailable, it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 could refuse to contract with us, demand higher drug pricing or take other actions that could result in higher medical costs or less attractive services for our members.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Specialty pharmacies could face supply chain issues or regulatory delays impacting the availability or distribution of certain fertility prescriptions requiring drug substitutions that could result in higher medical costs or negatively impact our revenues, rebates and results of operations. We do not control the pricing strategies or supply chains of our specialty pharmacy partners, each of whom may be impacted by general economic considerations including inflation and other independent considerations and drivers that are outside our control and each of whom has the ability to set or impact market price for different prescription medications. We also cannot provide any assurance that we will be able to continue to renew our existing contracts,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For example, between October 2022 and November 2022 the manufacturer of Menopur temporarily paused delivery of the drug, which created a shortage in supply, while they awaited FDA approval to changes that were made in the manufacturing process of one of their suppliers. While we do not currently expect future Menopur shortages, due to the recent supply chain changes and disruptions there is a possibility of a prolonged halt to production of medications relied on by Progyny members that could negatively impact our revenue and results of operations.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lose our relationship with one or more key pharmacy program partners, or if the rebates provided by pharmacy program partners decline, our business and results of operations could be adversely affected.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implemented in negotiating these pricing structures.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fertility medications and alternative treatment options, and negotiated rates among industry participants—impact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marketing efforts depend on our ability to maintain our relationships with benefits consultants.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the benefits consultants, our marketing efforts, business and profitability would be adversely impacted.</w:t>
      </w:r>
    </w:p>
    <w:p>
      <w:pPr>
        <w:pStyle w:val="TextBody"/>
        <w:spacing w:lineRule="auto" w:line="288" w:before="240" w:after="283"/>
        <w:jc w:val="both"/>
        <w:rPr/>
      </w:pPr>
      <w:r>
        <w:rPr>
          <w:rFonts w:ascii="Times New Roman;sans-serif" w:hAnsi="Times New Roman;sans-serif"/>
          <w:b/>
          <w:i/>
          <w:color w:val="000000"/>
          <w:sz w:val="20"/>
        </w:rPr>
        <w:t>We are exposed to credit risk from our members</w:t>
      </w:r>
      <w:r>
        <w:rPr>
          <w:rFonts w:ascii="Times New Roman;sans-serif" w:hAnsi="Times New Roman;sans-serif"/>
          <w:b w:val="false"/>
          <w:i/>
          <w:color w:val="000000"/>
          <w:sz w:val="20"/>
        </w:rPr>
        <w:t xml:space="preserve">.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Government Regulation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operate in a highly regulated industry and must comply with a significant number of complex and evolving legal and regulatory requirements. </w:t>
      </w:r>
    </w:p>
    <w:p>
      <w:pPr>
        <w:pStyle w:val="TextBody"/>
        <w:spacing w:lineRule="auto" w:line="288" w:before="240" w:after="283"/>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to violate, applicable laws, regulations or other requirements could subject us or our clients to significant administrative,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and contractual provisions related to or impacting the healthcare industry that may apply to our business activities directly or indirectly, including, but not limited to:</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Licensing and Licensed Personnel</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 xml:space="preserve">Many states have licensure or registration requirements for entities acting as a third-party administrator, or 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w:t>
      </w:r>
      <w:r>
        <w:rPr>
          <w:rFonts w:ascii="Times New Roman;sans-serif" w:hAnsi="Times New Roman;sans-serif"/>
          <w:b w:val="false"/>
          <w:color w:val="000000"/>
          <w:sz w:val="20"/>
        </w:rPr>
        <w:t>clients. We cannot predict what effect, if any, such statutes, if enacted, may have on our business and financial results.</w:t>
      </w:r>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pStyle w:val="TextBody"/>
        <w:spacing w:lineRule="auto" w:line="288" w:before="240" w:after="283"/>
        <w:jc w:val="both"/>
        <w:rPr/>
      </w:pPr>
      <w:r>
        <w:rPr>
          <w:rFonts w:ascii="Times New Roman;sans-serif" w:hAnsi="Times New Roman;sans-serif"/>
          <w:b w:val="false"/>
          <w:color w:val="000000"/>
          <w:sz w:val="20"/>
        </w:rPr>
        <w:t xml:space="preserve">In addition, </w:t>
      </w:r>
      <w:r>
        <w:rPr>
          <w:rFonts w:ascii="Times New Roman;sans-serif" w:hAnsi="Times New Roman;sans-serif"/>
          <w:b w:val="false"/>
          <w:color w:val="000000"/>
          <w:sz w:val="20"/>
          <w:highlight w:val="white"/>
        </w:rPr>
        <w:t>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w:t>
      </w:r>
      <w:r>
        <w:rPr>
          <w:color w:val="000000"/>
        </w:rPr>
        <w:t xml:space="preserve"> </w:t>
      </w:r>
      <w:r>
        <w:rPr>
          <w:rFonts w:ascii="Times New Roman;sans-serif" w:hAnsi="Times New Roman;sans-serif"/>
          <w:b w:val="false"/>
          <w:color w:val="000000"/>
          <w:sz w:val="20"/>
          <w:highlight w:val="white"/>
        </w:rPr>
        <w:t>personnel obtain the necessary licensure, which may adversely affect our relationships with our clients and members and cause us to be in breach of our contracts.</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HIPAA Privacy and Security Requirements</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 xml:space="preserve">Regulations promulgated pursuant to HIPAA </w:t>
      </w:r>
      <w:r>
        <w:rPr>
          <w:rFonts w:ascii="Times New Roman;sans-serif" w:hAnsi="Times New Roman;sans-serif"/>
          <w:b w:val="false"/>
          <w:color w:val="000000"/>
          <w:sz w:val="20"/>
        </w:rPr>
        <w:t>as amended, and regulations promulgated thereunder, or collectively, HIPAA</w:t>
      </w:r>
      <w:r>
        <w:rPr>
          <w:color w:val="000000"/>
          <w:highlight w:val="white"/>
        </w:rPr>
        <w:t xml:space="preserve"> </w:t>
      </w:r>
      <w:r>
        <w:rPr>
          <w:rFonts w:ascii="Times New Roman;sans-serif" w:hAnsi="Times New Roman;sans-serif"/>
          <w:b w:val="false"/>
          <w:color w:val="000000"/>
          <w:sz w:val="20"/>
          <w:highlight w:val="white"/>
        </w:rPr>
        <w:t>establish privacy and security standards that limit the use and disclosure of certain individually identifiable health information (known as “protected health information”) and require the implementation of administrative, physical and technological organizational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Other Privacy and Security Requirements</w:t>
      </w:r>
      <w:r>
        <w:rPr>
          <w:rFonts w:ascii="Times New Roman;sans-serif" w:hAnsi="Times New Roman;sans-serif"/>
          <w:b w:val="false"/>
          <w:color w:val="000000"/>
          <w:sz w:val="20"/>
        </w:rPr>
        <w:t xml:space="preserve">. In addition to HIPAA, </w:t>
      </w:r>
      <w:r>
        <w:rPr>
          <w:rFonts w:ascii="Times New Roman;sans-serif" w:hAnsi="Times New Roman;sans-serif"/>
          <w:b w:val="false"/>
          <w:color w:val="000000"/>
          <w:sz w:val="20"/>
          <w:highlight w:val="white"/>
        </w:rPr>
        <w:t xml:space="preserve">numerous other federal and state laws govern the collection, dissemination, use,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the California Consumer Privacy Act of 2018, or CCPA, went into effect on January 1, 2020 which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has increased the likelihood and risks associated with data breach litigation. Further, the California Privacy Rights Act, or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 </w:t>
      </w:r>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Certain of our solutions and services involve the transmission and storage of client and member data in various jurisdictions, which subjects the operation of those solutions and services to privacy or data protection laws and regulations in those jurisdictions.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Data Protection and Breaches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 xml:space="preserve">In recent years, there have been a number of well-publicized data breaches involving the improper dissemination of personal information of individuals both within and outside of the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healthcare industry. Laws in all 50 states require businesses to provide notice to clients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may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HIPAA Transaction and Identifier Standards</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 xml:space="preserve">HIPAA and its implementing regulations mandate format and data content standards and provider 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pPr>
      <w:r>
        <w:rPr>
          <w:rFonts w:ascii="Times New Roman;sans-serif" w:hAnsi="Times New Roman;sans-serif"/>
          <w:b w:val="false"/>
          <w:color w:val="000000"/>
          <w:sz w:val="20"/>
          <w:highlight w:val="white"/>
        </w:rPr>
        <w:t>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r>
        <w:rPr>
          <w:rFonts w:ascii="Times New Roman;sans-serif" w:hAnsi="Times New Roman;sans-serif"/>
          <w:b w:val="false"/>
          <w:color w:val="000000"/>
          <w:sz w:val="20"/>
        </w:rPr>
        <w:t>.</w:t>
      </w:r>
    </w:p>
    <w:p>
      <w:pPr>
        <w:pStyle w:val="TextBody"/>
        <w:spacing w:lineRule="auto" w:line="288" w:before="240" w:after="283"/>
        <w:jc w:val="both"/>
        <w:rPr/>
      </w:pPr>
      <w:r>
        <w:rPr>
          <w:rFonts w:ascii="Times New Roman;sans-serif" w:hAnsi="Times New Roman;sans-serif"/>
          <w:b w:val="false"/>
          <w:color w:val="000000"/>
          <w:sz w:val="20"/>
          <w:highlight w:val="white"/>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r>
        <w:rPr>
          <w:rFonts w:ascii="Times New Roman;sans-serif" w:hAnsi="Times New Roman;sans-serif"/>
          <w:b w:val="false"/>
          <w:color w:val="000000"/>
          <w:sz w:val="20"/>
        </w:rPr>
        <w:t>.</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Fraud and Abuse Laws</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Many of our clients, insurance carriers, and network healthcare providers are impacted directly and indirectly by certain 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r>
        <w:rPr>
          <w:rFonts w:ascii="Times New Roman;sans-serif" w:hAnsi="Times New Roman;sans-serif"/>
          <w:b w:val="false"/>
          <w:color w:val="000000"/>
          <w:sz w:val="20"/>
        </w:rPr>
        <w:t>.</w:t>
      </w:r>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State Corporate Practice and Fee-Splitting Prohibitions. </w:t>
      </w:r>
      <w:r>
        <w:rPr>
          <w:rFonts w:ascii="Times New Roman;sans-serif" w:hAnsi="Times New Roman;sans-serif"/>
          <w:b w:val="false"/>
          <w:color w:val="000000"/>
          <w:sz w:val="20"/>
          <w:highlight w:val="white"/>
        </w:rPr>
        <w:t>There is a risk that regulatory authorities in some jurisdictions may find that our 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r>
        <w:rPr>
          <w:rFonts w:ascii="Times New Roman;sans-serif" w:hAnsi="Times New Roman;sans-serif"/>
          <w:b w:val="false"/>
          <w:color w:val="000000"/>
          <w:sz w:val="20"/>
        </w:rPr>
        <w:t>.</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ERISA Regulation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 xml:space="preserve">The Employee Retirement Income Security Act of 1974, or ERISA, regulates certain aspects of employee health plans, including both insured and self-funded health plans sponsored by our clients, with which we have agreements to provide TPA services. As part of our agreements with a number of these clients, we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pPr>
      <w:r>
        <w:rPr>
          <w:rFonts w:ascii="Times New Roman;sans-serif" w:hAnsi="Times New Roman;sans-serif"/>
          <w:b w:val="false"/>
          <w:color w:val="000000"/>
          <w:sz w:val="20"/>
          <w:highlight w:val="white"/>
        </w:rPr>
        <w:t xml:space="preserve">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ERISA plans are subject to certain rules, published by the DOL, including certain reporting requirements for direct and indirect compensation received by plan service providers. Separately, although ERISA generally preempts state laws that relate to ERISA plans, the recent Supreme Court ruling in </w:t>
      </w:r>
      <w:r>
        <w:rPr>
          <w:rFonts w:ascii="Times New Roman;sans-serif" w:hAnsi="Times New Roman;sans-serif"/>
          <w:b w:val="false"/>
          <w:i/>
          <w:color w:val="000000"/>
          <w:sz w:val="20"/>
          <w:highlight w:val="white"/>
        </w:rPr>
        <w:t>Rutledge v. Pharm. Care Mgmt. Ass’n</w:t>
      </w:r>
      <w:r>
        <w:rPr>
          <w:color w:val="000000"/>
          <w:highlight w:val="white"/>
        </w:rPr>
        <w:t xml:space="preserve"> </w:t>
      </w:r>
      <w:r>
        <w:rPr>
          <w:rFonts w:ascii="Times New Roman;sans-serif" w:hAnsi="Times New Roman;sans-serif"/>
          <w:b w:val="false"/>
          <w:color w:val="000000"/>
          <w:sz w:val="20"/>
          <w:highlight w:val="white"/>
        </w:rPr>
        <w:t>established that ERISA does not preempt all state laws imposing transparency or other requirements on PBMs</w:t>
      </w:r>
      <w:r>
        <w:rPr>
          <w:rFonts w:ascii="Times New Roman;sans-serif" w:hAnsi="Times New Roman;sans-serif"/>
          <w:b w:val="false"/>
          <w:color w:val="000000"/>
          <w:sz w:val="20"/>
        </w:rPr>
        <w:t>.</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Prompt Pay Laws</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Certain states have laws regulating the amount of time that may elapse from when a third-party payor receives a claim for services rendered to when those services are paid. These “prompt pay” laws may 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Network Adequacy and Access Requirements</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Network adequacy and access laws require health plans to maintain a network of healthcare 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r>
        <w:rPr>
          <w:rFonts w:ascii="Times New Roman;sans-serif" w:hAnsi="Times New Roman;sans-serif"/>
          <w:b w:val="false"/>
          <w:color w:val="000000"/>
          <w:sz w:val="20"/>
        </w:rPr>
        <w:t>.</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Consumer Protection Laws</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Federal and state consumer protection laws are being applied increasingly by the 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Restrictions on Communication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Communications with our members increasingly may be subject to and 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r>
        <w:rPr>
          <w:rFonts w:ascii="Times New Roman;sans-serif" w:hAnsi="Times New Roman;sans-serif"/>
          <w:b w:val="false"/>
          <w:color w:val="000000"/>
          <w:sz w:val="20"/>
        </w:rPr>
        <w: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healthcare regulatory and political framework is uncertain and evolving. Recent and future developments in the healthcare industry could have an adverse impact on our business, financial condition and results of operations.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 as the overall reimbursement and drug pricing environment for healthcare providers. Since its enactment, there have been judicial, executive and Congressional challenges to certain aspects of the ACA as well as efforts to repeal or replace certain aspects of the ACA. On June 17, 2021, the U.S. Supreme Court dismissed the most recent judicial challenge to the ACA brought by several states without specifically ruling on the constitutionality of the ACA. </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w:t>
      </w:r>
      <w:r>
        <w:rPr>
          <w:color w:val="000000"/>
        </w:rPr>
        <w:t xml:space="preserve"> </w:t>
      </w:r>
      <w:r>
        <w:rPr>
          <w:rFonts w:ascii="Times New Roman;sans-serif" w:hAnsi="Times New Roman;sans-serif"/>
          <w:b w:val="false"/>
          <w:color w:val="000000"/>
          <w:sz w:val="20"/>
          <w:highlight w:val="white"/>
        </w:rPr>
        <w:t>actions to determine if any such actions are inconsistent with the policy set forth in the Executive Order to protect and strengthen the ACA and make high-quality healthcare accessible and affordable for every American. Most recently, on August 16, 2022, President Biden signed the Inflation Reduction Act of 2022 or IRA into law. The health reform measures included in the IRA largely focus on pharmaceutical manufacturers, but are likely to impact the reimbursement and drug pricing environment for healthcare providers and insurers more broadly, in ways that cannot yet be fully determined.</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As another example of recent healthcare legislative changes, the Consolidated Appropriations Act, or CAA, effective December 27, 2021, contains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Department of Labor, HHS and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 </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balance billing or surprise billing laws and the CAA defers to existing state requirements with respect to state-established payment amounts. Such state laws vary in their approach, resulting in different impacts on the healthcare system as a whole.</w:t>
      </w:r>
      <w:r>
        <w:rPr>
          <w:color w:val="000000"/>
        </w:rPr>
        <w:t xml:space="preserve">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are unable to predict how other healthcare reform initiatives from new legislation, regulation, judicial action and/or executive action, including the CAA and No Surprises Act and state laws, will ultimately impact the healthcare industry and what the potential impact may be on our business and on our relationships with current and future clients,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insurance carriers, and healthcare providers. Additionally, we cannot predict the timing or impact of any future rulemaking, court decisions or other changes in the law. If we are unable to comply with these laws or regulations or provide adequate assistance to our clients subject to these laws or regulations, it is reasonably possible that our business operations and results of operations could be materially adversely affected.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potential changes in laws, regulations, government enforcement priorities, public policy, industry standards and other requirements, including with respect to Progyny Rx’s PBM practices, which create risks and challenges with respect to our compliance efforts and our business strategies, and may adversely affect our business. </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as well as the recently enacted IRA,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r>
        <w:rPr>
          <w:rFonts w:ascii="Times New Roman;sans-serif" w:hAnsi="Times New Roman;sans-serif"/>
          <w:b w:val="false"/>
          <w:color w:val="000000"/>
          <w:sz w:val="20"/>
        </w:rPr>
        <w:t>.</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including, among other things, disclosure, receipt and retention of rebates and other payments received from pharmaceutical manufacturers or pharmacy program partners, rules governing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 More recently, in June 2022, the Federal Trade Commission announced an inquiry regarding the role of PBMs and stated its intent to closely scrutinize the impact of PBM rebates and fees on patients and payers.</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 xml:space="preserve">Further, the U.S. Supreme Court’s decision in </w:t>
      </w:r>
      <w:r>
        <w:rPr>
          <w:rFonts w:ascii="Times New Roman;sans-serif" w:hAnsi="Times New Roman;sans-serif"/>
          <w:b w:val="false"/>
          <w:i/>
          <w:color w:val="000000"/>
          <w:sz w:val="20"/>
          <w:highlight w:val="white"/>
        </w:rPr>
        <w:t xml:space="preserve">Rutledge v. Pharm. Care Mgmt. Ass’n </w:t>
      </w:r>
      <w:r>
        <w:rPr>
          <w:rFonts w:ascii="Times New Roman;sans-serif" w:hAnsi="Times New Roman;sans-serif"/>
          <w:b w:val="false"/>
          <w:color w:val="000000"/>
          <w:sz w:val="20"/>
          <w:highlight w:val="white"/>
        </w:rPr>
        <w:t xml:space="preserve">on December 10, 2020, which held that an Arkansas state law requiring PBMs to reimburse 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In the wake of the </w:t>
      </w:r>
      <w:r>
        <w:rPr>
          <w:rFonts w:ascii="Times New Roman;sans-serif" w:hAnsi="Times New Roman;sans-serif"/>
          <w:b w:val="false"/>
          <w:i/>
          <w:color w:val="000000"/>
          <w:sz w:val="20"/>
          <w:highlight w:val="white"/>
        </w:rPr>
        <w:t>Rutledge</w:t>
      </w:r>
      <w:r>
        <w:rPr>
          <w:color w:val="000000"/>
          <w:highlight w:val="white"/>
        </w:rPr>
        <w:t xml:space="preserve"> </w:t>
      </w:r>
      <w:r>
        <w:rPr>
          <w:rFonts w:ascii="Times New Roman;sans-serif" w:hAnsi="Times New Roman;sans-serif"/>
          <w:b w:val="false"/>
          <w:color w:val="000000"/>
          <w:sz w:val="20"/>
          <w:highlight w:val="white"/>
        </w:rPr>
        <w:t xml:space="preserve">ruling, for example, New York reintroduced previously vetoed PBM legislation and former Governor Andrew Cuomo issued an Executive Budget for 2022 that highlights the need for PBM accountability. Several states have proposed separate PBM bills, and at least 18 states have adopted PBM oversight laws. A number of these proposed laws would require PBMs to submit annual transparency reports or otherwise disclose contractual arrangements with health benefit plans or health insurance issuers, or allow regulators to conduct audits of PBM operations.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Accordingly, it is reasonably possible that our business operations and our results of operations could be materially adversely affected by legislative, regulatory and public policy changes at the federal or state level, increased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our ability to standardize its Progyny Rx PBM products and services across state lines. Further, our failure to comply with these laws or regulations could result in material fines and/or sanctions and could have a material adverse effect on our results of operations and/or cash flows.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anti-corruption, anti-bribery, anti-money laundering, and similar laws, and non-compliance with such laws can subject us to criminal or civil liability and harm our business, financial condition and results of operations.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pStyle w:val="TextBody"/>
        <w:spacing w:lineRule="auto" w:line="288" w:before="24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Any potential sales to government entities are subject to a number of challenges and risks. </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r>
        <w:rPr>
          <w:rFonts w:ascii="Times New Roman;sans-serif" w:hAnsi="Times New Roman;sans-serif"/>
          <w:b w:val="false"/>
          <w:color w:val="000000"/>
          <w:sz w:val="20"/>
        </w:rPr>
        <w:t>.</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r>
        <w:rPr>
          <w:rFonts w:ascii="Times New Roman;sans-serif" w:hAnsi="Times New Roman;sans-serif"/>
          <w:b w:val="false"/>
          <w:color w:val="000000"/>
          <w:sz w:val="20"/>
        </w:rPr>
        <w: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Any failure to protect our intellectual property rights could impair our ability to protect our proprietary technology and our brand.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pPr>
      <w:r>
        <w:rPr>
          <w:rFonts w:ascii="Times New Roman;sans-serif" w:hAnsi="Times New Roman;sans-serif"/>
          <w:b w:val="false"/>
          <w:color w:val="000000"/>
          <w:sz w:val="20"/>
          <w:highlight w:val="white"/>
        </w:rPr>
        <w:t>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r>
        <w:rPr>
          <w:rFonts w:ascii="Times New Roman;sans-serif" w:hAnsi="Times New Roman;sans-serif"/>
          <w:b w:val="false"/>
          <w:color w:val="000000"/>
          <w:sz w:val="20"/>
        </w:rPr>
        <w:t>.</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r>
        <w:rPr>
          <w:rFonts w:ascii="Times New Roman;sans-serif" w:hAnsi="Times New Roman;sans-serif"/>
          <w:b w:val="false"/>
          <w:color w:val="000000"/>
          <w:sz w:val="20"/>
        </w:rPr>
        <w:t>.</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r>
        <w:rPr>
          <w:rFonts w:ascii="Times New Roman;sans-serif" w:hAnsi="Times New Roman;sans-serif"/>
          <w:b w:val="false"/>
          <w:color w:val="000000"/>
          <w:sz w:val="20"/>
        </w:rPr>
        <w:t xml:space="preserve">.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 </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our effective tax rate or tax liabilities may have an adverse effect on our results of operations.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could be impacted due to several factors, including, but not limited to:</w:t>
      </w:r>
    </w:p>
    <w:p>
      <w:pPr>
        <w:pStyle w:val="TextBody"/>
        <w:spacing w:lineRule="auto" w:line="268" w:before="240" w:after="283"/>
        <w:ind w:left="0" w:right="0" w:hanging="360"/>
        <w:jc w:val="both"/>
        <w:rPr/>
      </w:pPr>
      <w:r>
        <w:rPr>
          <w:color w:val="000000"/>
        </w:rPr>
        <w:t>•</w:t>
      </w:r>
      <w:r>
        <w:rPr>
          <w:rFonts w:ascii="Times New Roman;sans-serif" w:hAnsi="Times New Roman;sans-serif"/>
          <w:b w:val="false"/>
          <w:color w:val="000000"/>
          <w:sz w:val="20"/>
        </w:rPr>
        <w:t>changes in the relative amounts of income before taxes in the various jurisdictions in which we operate that have differing statutory tax rates;</w:t>
      </w:r>
    </w:p>
    <w:p>
      <w:pPr>
        <w:pStyle w:val="TextBody"/>
        <w:spacing w:lineRule="auto" w:line="268" w:before="240" w:after="283"/>
        <w:ind w:left="0" w:right="0" w:hanging="360"/>
        <w:jc w:val="both"/>
        <w:rPr/>
      </w:pPr>
      <w:r>
        <w:rPr>
          <w:color w:val="000000"/>
        </w:rPr>
        <w:t>•</w:t>
      </w:r>
      <w:r>
        <w:rPr>
          <w:rFonts w:ascii="Times New Roman;sans-serif" w:hAnsi="Times New Roman;sans-serif"/>
          <w:b w:val="false"/>
          <w:color w:val="000000"/>
          <w:sz w:val="20"/>
        </w:rPr>
        <w:t>changes in tax laws, tax treaties, and regulations or the interpretation of them (such as the recent Inflation Reduction Act which, among other changes, introduced a 15% corporate minimum tax on certain United States corporations and a 1% excise tax on certain stock redemptions by United States corporations);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outcome of future tax audits, examinations, or administrative appeals;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limitations or adverse findings regarding our ability to do business in some jurisdictions;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discrete impact tax items, including such items resulting from the amount and timing of equity exercises and our share price.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developments could have an adverse effect on our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Certain U.S. state tax authorities may assert that we have a state nexus and seek to impose state and local taxes which could adversely affect our results of operations. </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r>
        <w:rPr>
          <w:rFonts w:ascii="Times New Roman;sans-serif" w:hAnsi="Times New Roman;sans-serif"/>
          <w:b w:val="false"/>
          <w:color w:val="000000"/>
          <w:sz w:val="20"/>
        </w:rPr>
        <w:t xml:space="preserv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utilize a significant portion of our net operating loss or research tax credit carryforwards, which could adversely affect our profitability. </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existing at the time of the ownership change, which could adversely affect our profitability</w:t>
      </w:r>
      <w:r>
        <w:rPr>
          <w:rFonts w:ascii="Times New Roman;sans-serif" w:hAnsi="Times New Roman;sans-serif"/>
          <w:b w:val="false"/>
          <w:color w:val="000000"/>
          <w:sz w:val="20"/>
        </w:rPr>
        <w: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reported financial results may be adversely affected by changes in accounting principles generally accepted in the United States. </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 xml:space="preserve">Accounting principles generally accepted in the United States are subject to interpretation by the Financial Accounting Standards Board, or FASB, the SEC and various bodies formed to promulgate and interpret appropriate accounting principles. We adopted ASC No. 2021-04, </w:t>
      </w:r>
      <w:r>
        <w:rPr>
          <w:rFonts w:ascii="Times New Roman;sans-serif" w:hAnsi="Times New Roman;sans-serif"/>
          <w:b w:val="false"/>
          <w:i/>
          <w:color w:val="000000"/>
          <w:sz w:val="20"/>
        </w:rPr>
        <w:t>Earnings Per Share (Topic 260), Debt-Modifications and Extinguishments (Subtopic 470-50), Compensation- Stock Compensation (Topic 718), and Derivatives and Hedging-Contracts in Entity’s Own Equity (Subtopic 815- 40)</w:t>
      </w:r>
      <w:r>
        <w:rPr>
          <w:color w:val="000000"/>
          <w:highlight w:val="white"/>
        </w:rPr>
        <w:t xml:space="preserve"> </w:t>
      </w:r>
      <w:r>
        <w:rPr>
          <w:rFonts w:ascii="Times New Roman;sans-serif" w:hAnsi="Times New Roman;sans-serif"/>
          <w:b w:val="false"/>
          <w:color w:val="000000"/>
          <w:sz w:val="20"/>
          <w:highlight w:val="white"/>
        </w:rPr>
        <w:t xml:space="preserve">as of January 1, 2022. This accounting pronouncement did not have a material impact on our consolidated financial statements. </w:t>
      </w:r>
      <w:r>
        <w:rPr>
          <w:rFonts w:ascii="Times New Roman;sans-serif" w:hAnsi="Times New Roman;sans-serif"/>
          <w:b w:val="false"/>
          <w:color w:val="000000"/>
          <w:sz w:val="20"/>
        </w:rPr>
        <w:t xml:space="preserve">See Note 2 – Significant Accounting Policies included in Part I, Item 1 of this Quarterly Report on Form 10-Q for additional information on recently adopted accounting standards. </w:t>
      </w:r>
      <w:r>
        <w:rPr>
          <w:rFonts w:ascii="Times New Roman;sans-serif" w:hAnsi="Times New Roman;sans-serif"/>
          <w:b w:val="false"/>
          <w:color w:val="000000"/>
          <w:sz w:val="20"/>
          <w:highlight w:val="white"/>
        </w:rPr>
        <w:t xml:space="preserve">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 which could have a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our estimates or judgments relating to our critical accounting policies prove to be incorrect, our results of operations could be adversely affected.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stock price may be volatile, and the value of our common stock may decline.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high volume of direct sales into the market by large investors;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actual or anticipated fluctuations in our financial condition or results of operations;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publications of research or other reports about us or our industry, including those which may contain inaccurate or misleading information, financial estimates about us, changes in recommendations or withdrawal of research coverage by securities analysts;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the pricing of our solutions and services;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our projected operating and financial results;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general economic, industry, and market conditions;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laws or regulations applicable to our products and solutions;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announcements by us or our competitors of significant business developments, acquisitions, or new offerings;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significant data breaches of our company, providers, vendors or pharmacies;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involvement in litigation or threats of litigation against us;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future sales of our common stock by us or our stockholders;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senior management or key personnel;</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trading volume of our common stock;</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war, incidents of terrorism, or responses to these events;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the anticipated future size and growth rate of our market.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fluctuations, as well as general economic, political, regulatory, and market conditions, including those related to the COVID-19 pandemic, may also negatively impact the market price of our common stock. Fluctuations in our quarterly operating results and the price of our common stock may be particularly pronounced in the current economic environment, including due to the uncertainty caused by the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An active trading market for our common stock may not be sustained.</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expect fluctuations in our financial results, making it difficult to project future results, and if we fail to meet the expectations of securities analysts or investors with respect to our results of operations, our stock price and the value of your investment could decline.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fluctuations in demand for or pricing of our solutions;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level and mix of utilization of our solutions by members;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attract new clients;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retain our existing clients;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client expansion rates;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clients’ budgets and in the timing of their budget cycles and purchasing decisions;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control costs, including our operating expenses and healthcare costs;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amount and timing of payment for operating expenses, particularly sales and marketing expenses;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amount and timing of non-cash expenses, including stock-based compensation expense, goodwill impairments and other non-cash charges;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amount and timing of costs associated with recruiting, training and integrating new employees and retaining and motivating existing employees;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general economic conditions, as well as economic conditions specifically affecting industries in which our clients participate, including those related to the COVID-19 pandemic;</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impact of new accounting pronouncements;</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the competitive dynamics of our market, including consolidation among competitors or clients;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significant security breaches of, technical difficulties with, or interruptions to, the delivery and use of our solutions and services.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and other factors, or the cumulative effect of some of these factors, may cause our results of operations to vary significantly. For example, the long-term impact of the COVID-19 pandemic is unknown at this time, but could result in adverse changes in our results of operations for an unknown period of time. If our quarterly results of operations fall below the expectations of investors and securities analysts who follow our stock, the price of our common stock could decline substantially, and we could face costly lawsuits, including securities class action suits.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As a result of being a public company, we are obligated to develop and maintain proper and effective internal control over financial reporting, and any failure to maintain the adequacy of these internal control may adversely affect investor confidence in our company and, as a result, the value of our common stock.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pursuant to Section 404 of the Sarbanes-Oxley Act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of SOX.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evaluation and testing process of our internal control,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Future sales of our common stock in the public market could cause the market price of our common stock to decline.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highlight w:val="white"/>
        </w:rPr>
        <w:t>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r>
        <w:rPr>
          <w:rFonts w:ascii="Times New Roman;sans-serif" w:hAnsi="Times New Roman;sans-serif"/>
          <w:b w:val="false"/>
          <w:color w:val="000000"/>
          <w:sz w:val="20"/>
        </w:rPr>
        <w:t>.</w:t>
      </w:r>
    </w:p>
    <w:p>
      <w:pPr>
        <w:pStyle w:val="TextBody"/>
        <w:spacing w:lineRule="auto" w:line="288" w:before="240" w:after="283"/>
        <w:jc w:val="both"/>
        <w:rPr/>
      </w:pPr>
      <w:r>
        <w:rPr>
          <w:rFonts w:ascii="Times New Roman;sans-serif" w:hAnsi="Times New Roman;sans-serif"/>
          <w:b/>
          <w:i/>
          <w:color w:val="000000"/>
          <w:sz w:val="20"/>
        </w:rPr>
        <w:t>Our issuance of additional capital stock in connection with financings, acquisitions, investments, our equity incentive plans or otherwise will dilute all other stockholders</w:t>
      </w:r>
      <w:r>
        <w:rPr>
          <w:rFonts w:ascii="Times New Roman;sans-serif" w:hAnsi="Times New Roman;sans-serif"/>
          <w:b w:val="false"/>
          <w:i/>
          <w:color w:val="000000"/>
          <w:sz w:val="20"/>
        </w:rPr>
        <w:t xml:space="preserve">. </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pPr>
      <w:r>
        <w:rPr>
          <w:rFonts w:ascii="Times New Roman;sans-serif" w:hAnsi="Times New Roman;sans-serif"/>
          <w:b w:val="false"/>
          <w:color w:val="000000"/>
          <w:sz w:val="20"/>
          <w:highlight w:val="white"/>
        </w:rPr>
        <w:t>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r>
        <w:rPr>
          <w:rFonts w:ascii="Times New Roman;sans-serif" w:hAnsi="Times New Roman;sans-serif"/>
          <w:b w:val="false"/>
          <w:color w:val="000000"/>
          <w:sz w:val="20"/>
        </w:rPr>
        <w: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unfavorable or inaccurate research, about our business, the market price and trading volume of our common stock could decline.</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market price and trading volume of our common stock will be heavily influenced by the way analysts interpret our financial information and other disclosures. We do not have control over these analysts. If securities analysts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and the trading volume of our common stock could decrease.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do not intend to pay dividends for the foreseeable future and, as a result, your ability to achieve a return on your investment will depend on appreciation in the price of our common stock. </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r>
        <w:rPr>
          <w:rFonts w:ascii="Times New Roman;sans-serif" w:hAnsi="Times New Roman;sans-serif"/>
          <w:b w:val="false"/>
          <w:color w:val="000000"/>
          <w:sz w:val="20"/>
        </w:rPr>
        <w: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incur increased costs as a result of operating as a public company, and our management is required to devote substantial time to compliance with our public company responsibilities and corporate governance practices. </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will incur as a public company or the specific timing of such costs</w:t>
      </w:r>
      <w:r>
        <w:rPr>
          <w:rFonts w:ascii="Times New Roman;sans-serif" w:hAnsi="Times New Roman;sans-serif"/>
          <w:b w:val="false"/>
          <w:color w:val="000000"/>
          <w:sz w:val="20"/>
        </w:rPr>
        <w: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Anti-takeover provisions in our charter documents and under Delaware law could make an acquisition of our company more difficult, limit attempts by our stockholders to replace or remove our current management and limit the market price of our common stock.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authorize our Board of Directors to issue, without further action by the stockholders, shares of undesignated preferred stock with terms, rights, and preferences determined by our Board of Directors that may be senior to our common stock;</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require that any action to be taken by our stockholders be effected at a duly called annual or special meeting and not by written consent;</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specify that special meetings of our stockholders can be called only by our Board of Directors, the chairperson of our Board of Directors, or our chief executive officer;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establish an advance notice procedure for stockholder proposals to be brought before an annual meeting, including proposed nominations of persons for election to our Board of Directors;</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establish that our Board of Directors is divided into three classes, with each class serving three-year staggered terms;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prohibit cumulative voting in the election of directors;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provide that our directors may be removed for cause only upon the vote of at least 66 and 2/3% of our outstanding shares of voting stock;</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provide that vacancies on our Board of Directors may be filled only by a majority of directors then in office, even though less than a quorum;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require the approval of our Board of Directors or the holders of at least 66 and 2/3% of our outstanding shares of voting stock to amend our amended and restated bylaws and certain provisions of our amended and restated certificate of incorporation.</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r>
        <w:rPr>
          <w:rFonts w:ascii="Times New Roman;sans-serif" w:hAnsi="Times New Roman;sans-serif"/>
          <w:b w:val="false"/>
          <w:color w:val="000000"/>
          <w:sz w:val="20"/>
        </w:rPr>
        <w: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Unstable market and economic conditions may impact our ability to obtain any necessary financing and adversely impact our business, financial condition and share price.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global economy, including financial and credit markets, has recently experienced volatility and uncertainty, including rising interest and inflation rates, declines in economic growth, and declines in global equity markets. If the equity and credit markets continue to deteriorate, or the United States enters a recession, it may make any necessary debt or equity financing more difficult to obtain in a timely manner or on favorable terms, more costly or more dilutive. As a result, our business, results of operations, and price of our common stock may be adversely affected.</w:t>
      </w:r>
    </w:p>
    <w:p>
      <w:pPr>
        <w:pStyle w:val="TextBody"/>
        <w:spacing w:before="0" w:after="0"/>
        <w:ind w:left="0" w:right="0" w:firstLine="72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Increased scrutiny and changing expectations from the SEC regarding environmental, social and governance practices, and reporting could cause us to incur additional costs, devote additional resources and expose us to additional risks, which could adversely impact our reputation, or otherwise adversely impact our business.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across all industries are facing increasing scrutiny related to their environmental, social and governance, or ESG practices and reporting. The SEC and investors have focused increasingly on ESG practices and placed increasing importance on the implications and social cost of ESG reporting. With this increased focus and demand, public reporting regarding ESG practices is becoming more broadly expected. Expectations regarding voluntary ESG initiatives and disclosures may result in increased costs, changes in demand for certain offerings, enhanced compliance or disclosure obligations, or other adverse impacts to our business, financial condition or results of operations. We may provide information in this Quarterly Report on Form 10-Q or our other filings with the SEC that are informed by various ESG standards and frameworks (including standards for the measurement of underlying data) and the interest of various stakeholders. Much of this information is subject to assumptions, estimates or third-party information that is still evolving and subject to change, and our disclosures based on any standards may change due to revisions in framework requirements, availability of information, changes in our business or applicable government policies, or other factors, some of which may be beyond our control. If our ESG practices and reporting do not meet or are viewed as not meeting SEC, investor or other industry or stakeholder expectations, which continue to evolve, our brand, reputation and investor retention may be negatively impacted. It is possible that stakeholders may not be satisfied with our ESG practices or the speed of their adoption. We could also incur additional costs and require additional resources to monitor, report, implement, enhance and comply with various ESG practices and standards. Also, our failure, or perceived failure to meet the standards included in any ESG disclosure could negatively impact our reputation, employee recruiting and retention, and the willingness of our customers and suppliers to do business with us.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Net Settlement of Equity Awards </w:t>
      </w:r>
    </w:p>
    <w:p>
      <w:pPr>
        <w:pStyle w:val="TextBody"/>
        <w:spacing w:lineRule="auto" w:line="288" w:before="240" w:after="283"/>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restricted stock units are subject to vesting and the underlying shares of common stock are issued when the restricted stock units vest. </w:t>
      </w:r>
    </w:p>
    <w:p>
      <w:pPr>
        <w:pStyle w:val="TextBody"/>
        <w:spacing w:lineRule="auto" w:line="288" w:before="240" w:after="283"/>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the first quarter of 2023, we withheld shares through net settlements (where the award holder receives the net of the shares vested, after surrendering a portion of the shares back to the Company for tax withholding) for certain restricted stock units that vested.</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provides a summary of shares surrendered back to the Company for tax withholding on restricted stock units that vested under our equity incentive plans in the three months ended March 31, 2023:</w:t>
      </w:r>
    </w:p>
    <w:tbl>
      <w:tblPr>
        <w:tblW w:w="10205" w:type="dxa"/>
        <w:jc w:val="left"/>
        <w:tblInd w:w="0" w:type="dxa"/>
        <w:tblCellMar>
          <w:top w:w="28" w:type="dxa"/>
          <w:left w:w="28" w:type="dxa"/>
          <w:bottom w:w="28" w:type="dxa"/>
          <w:right w:w="28" w:type="dxa"/>
        </w:tblCellMar>
      </w:tblPr>
      <w:tblGrid>
        <w:gridCol w:w="782"/>
        <w:gridCol w:w="468"/>
        <w:gridCol w:w="476"/>
        <w:gridCol w:w="109"/>
        <w:gridCol w:w="109"/>
        <w:gridCol w:w="109"/>
        <w:gridCol w:w="501"/>
        <w:gridCol w:w="501"/>
        <w:gridCol w:w="502"/>
        <w:gridCol w:w="109"/>
        <w:gridCol w:w="109"/>
        <w:gridCol w:w="109"/>
        <w:gridCol w:w="536"/>
        <w:gridCol w:w="432"/>
        <w:gridCol w:w="278"/>
        <w:gridCol w:w="109"/>
        <w:gridCol w:w="109"/>
        <w:gridCol w:w="109"/>
        <w:gridCol w:w="737"/>
        <w:gridCol w:w="737"/>
        <w:gridCol w:w="739"/>
        <w:gridCol w:w="109"/>
        <w:gridCol w:w="109"/>
        <w:gridCol w:w="109"/>
        <w:gridCol w:w="980"/>
        <w:gridCol w:w="505"/>
        <w:gridCol w:w="723"/>
      </w:tblGrid>
      <w:tr>
        <w:trPr/>
        <w:tc>
          <w:tcPr>
            <w:tcW w:w="782"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r>
      <w:tr>
        <w:trPr/>
        <w:tc>
          <w:tcPr>
            <w:tcW w:w="172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16"/>
              </w:rPr>
              <w:t xml:space="preserve">Total Number of Shares Repurchased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8"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Maximum Dollar Amount of Shares That May Yet Be Purchased Under the Program</w:t>
            </w:r>
          </w:p>
        </w:tc>
      </w:tr>
      <w:tr>
        <w:trPr/>
        <w:tc>
          <w:tcPr>
            <w:tcW w:w="1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through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r>
      <w:tr>
        <w:trPr/>
        <w:tc>
          <w:tcPr>
            <w:tcW w:w="172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through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8"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r>
      <w:tr>
        <w:trPr/>
        <w:tc>
          <w:tcPr>
            <w:tcW w:w="172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through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8"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r>
      <w:tr>
        <w:trPr/>
        <w:tc>
          <w:tcPr>
            <w:tcW w:w="172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repurchased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w:t>
            </w:r>
          </w:p>
        </w:tc>
      </w:tr>
    </w:tbl>
    <w:p>
      <w:pPr>
        <w:pStyle w:val="TextBody"/>
        <w:spacing w:lineRule="auto" w:line="288" w:before="240" w:after="283"/>
        <w:ind w:left="0" w:right="0" w:hanging="180"/>
        <w:rPr/>
      </w:pPr>
      <w:r>
        <w:rPr>
          <w:rFonts w:ascii="Times New Roman;sans-serif" w:hAnsi="Times New Roman;sans-serif"/>
          <w:b w:val="false"/>
          <w:color w:val="000000"/>
          <w:sz w:val="13"/>
        </w:rPr>
        <w:t>(1)</w:t>
      </w:r>
      <w:r>
        <w:rPr>
          <w:rFonts w:ascii="Times New Roman;sans-serif" w:hAnsi="Times New Roman;sans-serif"/>
          <w:b w:val="false"/>
          <w:color w:val="000000"/>
          <w:sz w:val="20"/>
          <w:highlight w:val="white"/>
        </w:rPr>
        <w:t>Represents shares withheld on net settlements of restricted stock units that vested under our equity incentive plans.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76" w:before="0" w:after="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78"/>
        <w:gridCol w:w="245"/>
        <w:gridCol w:w="246"/>
        <w:gridCol w:w="109"/>
        <w:gridCol w:w="109"/>
        <w:gridCol w:w="109"/>
        <w:gridCol w:w="1214"/>
        <w:gridCol w:w="1214"/>
        <w:gridCol w:w="1226"/>
        <w:gridCol w:w="109"/>
        <w:gridCol w:w="109"/>
        <w:gridCol w:w="109"/>
        <w:gridCol w:w="177"/>
        <w:gridCol w:w="177"/>
        <w:gridCol w:w="178"/>
        <w:gridCol w:w="109"/>
        <w:gridCol w:w="109"/>
        <w:gridCol w:w="109"/>
        <w:gridCol w:w="344"/>
        <w:gridCol w:w="281"/>
        <w:gridCol w:w="257"/>
        <w:gridCol w:w="109"/>
        <w:gridCol w:w="109"/>
        <w:gridCol w:w="109"/>
        <w:gridCol w:w="210"/>
        <w:gridCol w:w="210"/>
        <w:gridCol w:w="211"/>
        <w:gridCol w:w="109"/>
        <w:gridCol w:w="109"/>
        <w:gridCol w:w="109"/>
        <w:gridCol w:w="245"/>
        <w:gridCol w:w="245"/>
        <w:gridCol w:w="246"/>
        <w:gridCol w:w="109"/>
        <w:gridCol w:w="109"/>
        <w:gridCol w:w="109"/>
        <w:gridCol w:w="301"/>
        <w:gridCol w:w="301"/>
        <w:gridCol w:w="437"/>
      </w:tblGrid>
      <w:tr>
        <w:trPr/>
        <w:tc>
          <w:tcPr>
            <w:tcW w:w="27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2" w:type="dxa"/>
            <w:gridSpan w:val="21"/>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Filed/Furnished</w:t>
              <w:br/>
              <w:t>Herewith</w:t>
            </w:r>
          </w:p>
        </w:tc>
      </w:tr>
      <w:tr>
        <w:trPr/>
        <w:tc>
          <w:tcPr>
            <w:tcW w:w="769"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76" w:before="0" w:after="0"/>
              <w:jc w:val="left"/>
              <w:rPr/>
            </w:pPr>
            <w:hyperlink r:id="rId2">
              <w:r>
                <w:rPr>
                  <w:rStyle w:val="InternetLink"/>
                  <w:rFonts w:ascii="Times New Roman;sans-serif" w:hAnsi="Times New Roman;sans-serif"/>
                  <w:b w:val="false"/>
                  <w:color w:val="0000EE"/>
                  <w:sz w:val="20"/>
                  <w:highlight w:val="white"/>
                  <w:u w:val="single"/>
                </w:rPr>
                <w:t>Amended and Restated Certificate of Incorporation of Progyny, Inc.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r:id="rId3">
              <w:r>
                <w:rPr>
                  <w:rStyle w:val="InternetLink"/>
                  <w:rFonts w:ascii="Times New Roman;sans-serif" w:hAnsi="Times New Roman;sans-serif"/>
                  <w:b w:val="false"/>
                  <w:color w:val="0000EE"/>
                  <w:sz w:val="20"/>
                  <w:highlight w:val="white"/>
                  <w:u w:val="single"/>
                </w:rPr>
                <w:t>Amended and Restated By-laws of Progyny, Inc.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333-233965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9/27/2019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r:id="rId4">
              <w:r>
                <w:rPr>
                  <w:rStyle w:val="InternetLink"/>
                  <w:rFonts w:ascii="Times New Roman;sans-serif" w:hAnsi="Times New Roman;sans-serif"/>
                  <w:b w:val="false"/>
                  <w:color w:val="0000EE"/>
                  <w:sz w:val="20"/>
                  <w:highlight w:val="white"/>
                  <w:u w:val="single"/>
                </w:rPr>
                <w:t>Form of common stock certificate</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333-233965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r:id="rId5">
              <w:r>
                <w:rPr>
                  <w:rStyle w:val="InternetLink"/>
                  <w:rFonts w:ascii="Times New Roman;sans-serif" w:hAnsi="Times New Roman;sans-serif"/>
                  <w:b w:val="false"/>
                  <w:color w:val="0000EE"/>
                  <w:sz w:val="20"/>
                  <w:highlight w:val="white"/>
                  <w:u w:val="single"/>
                </w:rPr>
                <w:t>Form of 2013 Preferred Stock Warrant.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333-233965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r:id="rId6">
              <w:r>
                <w:rPr>
                  <w:rStyle w:val="InternetLink"/>
                  <w:rFonts w:ascii="Times New Roman;sans-serif" w:hAnsi="Times New Roman;sans-serif"/>
                  <w:b w:val="false"/>
                  <w:color w:val="0000EE"/>
                  <w:sz w:val="20"/>
                  <w:highlight w:val="white"/>
                  <w:u w:val="single"/>
                </w:rPr>
                <w:t>Form of 2014 Preferred Stock Warrant.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333-233965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r:id="rId7">
              <w:r>
                <w:rPr>
                  <w:rStyle w:val="InternetLink"/>
                  <w:rFonts w:ascii="Times New Roman;sans-serif" w:hAnsi="Times New Roman;sans-serif"/>
                  <w:b w:val="false"/>
                  <w:color w:val="0000EE"/>
                  <w:sz w:val="20"/>
                  <w:highlight w:val="white"/>
                  <w:u w:val="single"/>
                </w:rPr>
                <w:t>Form of 2015 Preferred Stock Warrant.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333-233965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r:id="rId8">
              <w:r>
                <w:rPr>
                  <w:rStyle w:val="InternetLink"/>
                  <w:rFonts w:ascii="Times New Roman;sans-serif" w:hAnsi="Times New Roman;sans-serif"/>
                  <w:b w:val="false"/>
                  <w:color w:val="0000EE"/>
                  <w:sz w:val="20"/>
                  <w:highlight w:val="white"/>
                  <w:u w:val="single"/>
                </w:rPr>
                <w:t>Warrant to Purchase Stock issued to Silicon Valley Bank dated October 9, 2013.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333-233965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w:anchor="pgny-20230331xex311.htm">
              <w:r>
                <w:rPr>
                  <w:rStyle w:val="InternetLink"/>
                  <w:rFonts w:ascii="Times New Roman;sans-serif" w:hAnsi="Times New Roman;sans-serif"/>
                  <w:b w:val="false"/>
                  <w:color w:val="0000FF"/>
                  <w:sz w:val="20"/>
                  <w:u w:val="single"/>
                </w:rPr>
                <w:t>Certification of Chief Executive Officer pursuant to Exchange Act Rule 13a-14(a).</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w:anchor="pgny-20230331xex312.htm">
              <w:r>
                <w:rPr>
                  <w:rStyle w:val="InternetLink"/>
                  <w:rFonts w:ascii="Times New Roman;sans-serif" w:hAnsi="Times New Roman;sans-serif"/>
                  <w:b w:val="false"/>
                  <w:color w:val="0000FF"/>
                  <w:sz w:val="20"/>
                  <w:u w:val="single"/>
                </w:rPr>
                <w:t>Certification of Chief Financial Officer pursuant to Exchange Act Rule 13a-14(a).</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w:anchor="pgny-20230331xex321.htm">
              <w:r>
                <w:rPr>
                  <w:rStyle w:val="InternetLink"/>
                  <w:rFonts w:ascii="Times New Roman;sans-serif" w:hAnsi="Times New Roman;sans-serif"/>
                  <w:b w:val="false"/>
                  <w:color w:val="0000FF"/>
                  <w:sz w:val="20"/>
                  <w:u w:val="single"/>
                </w:rPr>
                <w:t>Certification of Principal Executive Officer pursuant to 18 U.S.C. Section 1350.</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w:anchor="pgny-20230331xex322.htm">
              <w:r>
                <w:rPr>
                  <w:rStyle w:val="InternetLink"/>
                  <w:rFonts w:ascii="Times New Roman;sans-serif" w:hAnsi="Times New Roman;sans-serif"/>
                  <w:b w:val="false"/>
                  <w:color w:val="0000FF"/>
                  <w:sz w:val="20"/>
                  <w:u w:val="single"/>
                </w:rPr>
                <w:t>Certification of Chief Financial Officer pursuant to 18 U.S.C. Section 1350.</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76" w:before="144" w:after="240"/>
        <w:rPr/>
      </w:pPr>
      <w:hyperlink w:anchor="i2e8161a61b724f40b2e32eff939303c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076" w:type="dxa"/>
        <w:jc w:val="left"/>
        <w:tblInd w:w="0" w:type="dxa"/>
        <w:tblCellMar>
          <w:top w:w="28" w:type="dxa"/>
          <w:left w:w="28" w:type="dxa"/>
          <w:bottom w:w="28" w:type="dxa"/>
          <w:right w:w="28" w:type="dxa"/>
        </w:tblCellMar>
      </w:tblPr>
      <w:tblGrid>
        <w:gridCol w:w="591"/>
        <w:gridCol w:w="520"/>
        <w:gridCol w:w="523"/>
        <w:gridCol w:w="191"/>
        <w:gridCol w:w="191"/>
        <w:gridCol w:w="191"/>
        <w:gridCol w:w="1129"/>
        <w:gridCol w:w="1129"/>
        <w:gridCol w:w="1611"/>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2" w:type="dxa"/>
            <w:gridSpan w:val="6"/>
            <w:tcBorders/>
            <w:shd w:fill="FFFFFF" w:val="clear"/>
            <w:tcMar>
              <w:top w:w="0" w:type="dxa"/>
              <w:left w:w="0" w:type="dxa"/>
              <w:bottom w:w="0" w:type="dxa"/>
              <w:right w:w="0" w:type="dxa"/>
            </w:tcMar>
            <w:vAlign w:val="center"/>
          </w:tcPr>
          <w:p>
            <w:pPr>
              <w:pStyle w:val="TableContents"/>
              <w:spacing w:lineRule="auto" w:line="276" w:before="15"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Progyny, Inc.</w:t>
            </w:r>
          </w:p>
          <w:p>
            <w:pPr>
              <w:pStyle w:val="TableContents"/>
              <w:spacing w:lineRule="auto" w:line="276" w:before="15" w:after="283"/>
              <w:jc w:val="left"/>
              <w:rPr/>
            </w:pPr>
            <w:r>
              <w:rPr>
                <w:rFonts w:ascii="Times New Roman;sans-serif" w:hAnsi="Times New Roman;sans-serif"/>
                <w:b w:val="false"/>
                <w:color w:val="000000"/>
                <w:sz w:val="20"/>
                <w:highlight w:val="white"/>
              </w:rPr>
              <w:t>(</w:t>
            </w:r>
            <w:r>
              <w:rPr>
                <w:rFonts w:ascii="Times New Roman;sans-serif" w:hAnsi="Times New Roman;sans-serif"/>
                <w:b/>
                <w:i/>
                <w:color w:val="000000"/>
                <w:sz w:val="20"/>
                <w:highlight w:val="white"/>
              </w:rPr>
              <w:t>Registrant</w:t>
            </w:r>
            <w:r>
              <w:rPr>
                <w:rFonts w:ascii="Times New Roman;sans-serif" w:hAnsi="Times New Roman;sans-serif"/>
                <w:b w:val="false"/>
                <w:color w:val="000000"/>
                <w:sz w:val="20"/>
                <w:highlight w:val="white"/>
              </w:rPr>
              <w:t>)</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57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6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Anevski</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Anevski</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Chief Executive Officer </w:t>
            </w:r>
          </w:p>
          <w:p>
            <w:pPr>
              <w:pStyle w:val="TableContents"/>
              <w:spacing w:lineRule="auto" w:line="276" w:before="15" w:after="283"/>
              <w:jc w:val="center"/>
              <w:rPr/>
            </w:pPr>
            <w:r>
              <w:rPr>
                <w:rFonts w:ascii="Times New Roman;sans-serif" w:hAnsi="Times New Roman;sans-serif"/>
                <w:b w:val="false"/>
                <w:color w:val="000000"/>
                <w:sz w:val="20"/>
                <w:highlight w:val="white"/>
              </w:rPr>
              <w:t>(</w:t>
            </w:r>
            <w:r>
              <w:rPr>
                <w:rFonts w:ascii="Times New Roman;sans-serif" w:hAnsi="Times New Roman;sans-serif"/>
                <w:b w:val="false"/>
                <w:i/>
                <w:color w:val="000000"/>
                <w:sz w:val="20"/>
                <w:highlight w:val="white"/>
              </w:rPr>
              <w:t>Principal Executive Officer</w:t>
            </w:r>
            <w:r>
              <w:rPr>
                <w:rFonts w:ascii="Times New Roman;sans-serif" w:hAnsi="Times New Roman;sans-serif"/>
                <w:b w:val="false"/>
                <w:color w:val="000000"/>
                <w:sz w:val="20"/>
                <w:highlight w:val="white"/>
              </w:rPr>
              <w:t>)</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57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6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Livingston</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Livingston</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Chief Financial Officer</w:t>
            </w:r>
          </w:p>
          <w:p>
            <w:pPr>
              <w:pStyle w:val="TableContents"/>
              <w:spacing w:lineRule="auto" w:line="276" w:before="15" w:after="283"/>
              <w:jc w:val="center"/>
              <w:rPr/>
            </w:pPr>
            <w:r>
              <w:rPr>
                <w:rFonts w:ascii="Times New Roman;sans-serif" w:hAnsi="Times New Roman;sans-serif"/>
                <w:b w:val="false"/>
                <w:color w:val="000000"/>
                <w:sz w:val="20"/>
                <w:highlight w:val="white"/>
              </w:rPr>
              <w:t>(</w:t>
            </w:r>
            <w:r>
              <w:rPr>
                <w:rFonts w:ascii="Times New Roman;sans-serif" w:hAnsi="Times New Roman;sans-serif"/>
                <w:b w:val="false"/>
                <w:i/>
                <w:color w:val="000000"/>
                <w:sz w:val="20"/>
                <w:highlight w:val="white"/>
              </w:rPr>
              <w:t>Principal Financial and Accounting Officer</w:t>
            </w:r>
            <w:r>
              <w:rPr>
                <w:rFonts w:ascii="Times New Roman;sans-serif" w:hAnsi="Times New Roman;sans-serif"/>
                <w:b w:val="false"/>
                <w:color w:val="000000"/>
                <w:sz w:val="20"/>
                <w:highlight w:val="white"/>
              </w:rPr>
              <w: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Peter Anevski, certify that: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Progyny, Inc.;</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68" w:type="dxa"/>
        <w:jc w:val="center"/>
        <w:tblInd w:w="0" w:type="dxa"/>
        <w:tblCellMar>
          <w:top w:w="28" w:type="dxa"/>
          <w:left w:w="28" w:type="dxa"/>
          <w:bottom w:w="28" w:type="dxa"/>
          <w:right w:w="28" w:type="dxa"/>
        </w:tblCellMar>
      </w:tblPr>
      <w:tblGrid>
        <w:gridCol w:w="591"/>
        <w:gridCol w:w="520"/>
        <w:gridCol w:w="523"/>
        <w:gridCol w:w="134"/>
        <w:gridCol w:w="134"/>
        <w:gridCol w:w="136"/>
        <w:gridCol w:w="712"/>
        <w:gridCol w:w="712"/>
        <w:gridCol w:w="1006"/>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3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Anevski</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Anevski</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Chief Officer </w:t>
            </w:r>
          </w:p>
          <w:p>
            <w:pPr>
              <w:pStyle w:val="TableContents"/>
              <w:spacing w:lineRule="auto" w:line="276" w:before="15"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Mark Livingston, certify that: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Progyny, Inc.;</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52" w:type="dxa"/>
        <w:jc w:val="center"/>
        <w:tblInd w:w="0" w:type="dxa"/>
        <w:tblCellMar>
          <w:top w:w="28" w:type="dxa"/>
          <w:left w:w="28" w:type="dxa"/>
          <w:bottom w:w="28" w:type="dxa"/>
          <w:right w:w="28" w:type="dxa"/>
        </w:tblCellMar>
      </w:tblPr>
      <w:tblGrid>
        <w:gridCol w:w="591"/>
        <w:gridCol w:w="520"/>
        <w:gridCol w:w="523"/>
        <w:gridCol w:w="134"/>
        <w:gridCol w:w="134"/>
        <w:gridCol w:w="136"/>
        <w:gridCol w:w="705"/>
        <w:gridCol w:w="705"/>
        <w:gridCol w:w="1004"/>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Livingston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Livingston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p>
            <w:pPr>
              <w:pStyle w:val="TableContents"/>
              <w:spacing w:lineRule="auto" w:line="276" w:before="15" w:after="283"/>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Progyny, Inc. (the “Company”) for the period ended March 31, 2023 as filed with the Securities and Exchange Commission on the date hereof (the “Report”), I certify, pursuant to 18 U.S.C. § 1350, as adopted pursuant to § 906 of the Sarbanes-Oxley Act of 2002, that, to my knowledge:</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468" w:type="dxa"/>
        <w:jc w:val="center"/>
        <w:tblInd w:w="0" w:type="dxa"/>
        <w:tblCellMar>
          <w:top w:w="28" w:type="dxa"/>
          <w:left w:w="28" w:type="dxa"/>
          <w:bottom w:w="28" w:type="dxa"/>
          <w:right w:w="28" w:type="dxa"/>
        </w:tblCellMar>
      </w:tblPr>
      <w:tblGrid>
        <w:gridCol w:w="591"/>
        <w:gridCol w:w="520"/>
        <w:gridCol w:w="523"/>
        <w:gridCol w:w="134"/>
        <w:gridCol w:w="134"/>
        <w:gridCol w:w="136"/>
        <w:gridCol w:w="712"/>
        <w:gridCol w:w="712"/>
        <w:gridCol w:w="1006"/>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3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Anevski</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Anevski</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spacing w:lineRule="auto" w:line="276" w:before="15" w:after="283"/>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Progyny, Inc. (the “Company”) for the period ended March 31, 2023 as filed with the Securities and Exchange Commission on the date hereof (the “Report”), I certify, pursuant to 18 U.S.C. § 1350, as adopted pursuant to § 906 of the Sarbanes-Oxley Act of 2002, that, to my knowledge:</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452" w:type="dxa"/>
        <w:jc w:val="center"/>
        <w:tblInd w:w="0" w:type="dxa"/>
        <w:tblCellMar>
          <w:top w:w="28" w:type="dxa"/>
          <w:left w:w="28" w:type="dxa"/>
          <w:bottom w:w="28" w:type="dxa"/>
          <w:right w:w="28" w:type="dxa"/>
        </w:tblCellMar>
      </w:tblPr>
      <w:tblGrid>
        <w:gridCol w:w="591"/>
        <w:gridCol w:w="520"/>
        <w:gridCol w:w="523"/>
        <w:gridCol w:w="134"/>
        <w:gridCol w:w="134"/>
        <w:gridCol w:w="136"/>
        <w:gridCol w:w="705"/>
        <w:gridCol w:w="705"/>
        <w:gridCol w:w="1004"/>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Livingston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Livingston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p>
            <w:pPr>
              <w:pStyle w:val="TableContents"/>
              <w:spacing w:lineRule="auto" w:line="276" w:before="15" w:after="283"/>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51306/000110465919058484/a19-21599_1ex3d1.htm" TargetMode="External"/><Relationship Id="rId3" Type="http://schemas.openxmlformats.org/officeDocument/2006/relationships/hyperlink" Target="http://www.sec.gov/Archives/edgar/data/1551306/000104746919005487/a2239750zex-3_4.htm" TargetMode="External"/><Relationship Id="rId4" Type="http://schemas.openxmlformats.org/officeDocument/2006/relationships/hyperlink" Target="http://www.sec.gov/Archives/edgar/data/1551306/000104746919005727/a2239825zex-4_1.htm" TargetMode="External"/><Relationship Id="rId5" Type="http://schemas.openxmlformats.org/officeDocument/2006/relationships/hyperlink" Target="http://www.sec.gov/Archives/edgar/data/1551306/000104746919005727/a2239825zex-4_2.htm" TargetMode="External"/><Relationship Id="rId6" Type="http://schemas.openxmlformats.org/officeDocument/2006/relationships/hyperlink" Target="http://www.sec.gov/Archives/edgar/data/1551306/000104746919005727/a2239825zex-4_3.htm" TargetMode="External"/><Relationship Id="rId7" Type="http://schemas.openxmlformats.org/officeDocument/2006/relationships/hyperlink" Target="http://www.sec.gov/Archives/edgar/data/1551306/000104746919005727/a2239825zex-4_4.htm" TargetMode="External"/><Relationship Id="rId8" Type="http://schemas.openxmlformats.org/officeDocument/2006/relationships/hyperlink" Target="http://www.sec.gov/Archives/edgar/data/1551306/000104746919005727/a2239825zex-4_5.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40780</Words>
  <CharactersWithSpaces>268642</CharactersWithSpaces>
  <Paragraphs>1894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