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FORM 10-Q</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bidi w:val="0"/>
        <w:spacing w:lineRule="auto" w:line="288" w:before="120" w:after="283"/>
        <w:jc w:val="left"/>
        <w:rPr>
          <w:rFonts w:ascii="Times New Roman;sans-serif" w:hAnsi="Times New Roman;sans-serif"/>
          <w:b/>
          <w:color w:val="000000"/>
          <w:sz w:val="14"/>
        </w:rPr>
      </w:pPr>
      <w:r>
        <w:rPr>
          <w:rFonts w:ascii="Times New Roman;sans-serif" w:hAnsi="Times New Roman;sans-serif"/>
          <w:b/>
          <w:color w:val="000000"/>
          <w:sz w:val="14"/>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___________________ to ___________________</w:t>
      </w:r>
    </w:p>
    <w:p>
      <w:pPr>
        <w:pStyle w:val="TextBody"/>
        <w:bidi w:val="0"/>
        <w:spacing w:lineRule="auto" w:line="288" w:before="120" w:after="283"/>
        <w:jc w:val="center"/>
        <w:rPr/>
      </w:pPr>
      <w:r>
        <w:rPr>
          <w:rFonts w:ascii="Times New Roman;sans-serif" w:hAnsi="Times New Roman;sans-serif"/>
          <w:b/>
          <w:color w:val="000000"/>
          <w:sz w:val="18"/>
        </w:rPr>
        <w:t xml:space="preserve">Commission File Number: </w:t>
      </w:r>
      <w:r>
        <w:rPr>
          <w:rFonts w:ascii="Times New Roman;sans-serif" w:hAnsi="Times New Roman;sans-serif"/>
          <w:b/>
          <w:color w:val="000000"/>
          <w:sz w:val="18"/>
          <w:shd w:fill="FFFFFF" w:val="clear"/>
        </w:rPr>
        <w:t>001-39100</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bidi w:val="0"/>
        <w:spacing w:lineRule="auto" w:line="288" w:before="120" w:after="283"/>
        <w:jc w:val="center"/>
        <w:rPr>
          <w:rFonts w:ascii="Times New Roman;sans-serif" w:hAnsi="Times New Roman;sans-serif"/>
          <w:b/>
          <w:color w:val="000000"/>
          <w:sz w:val="46"/>
        </w:rPr>
      </w:pPr>
      <w:r>
        <w:rPr>
          <w:rFonts w:ascii="Times New Roman;sans-serif" w:hAnsi="Times New Roman;sans-serif"/>
          <w:b/>
          <w:color w:val="000000"/>
          <w:sz w:val="46"/>
        </w:rPr>
        <w:t>Progyny,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tbl>
      <w:tblPr>
        <w:tblW w:w="3239" w:type="dxa"/>
        <w:jc w:val="left"/>
        <w:tblInd w:w="0" w:type="dxa"/>
        <w:tblLayout w:type="fixed"/>
        <w:tblCellMar>
          <w:top w:w="28" w:type="dxa"/>
          <w:left w:w="28" w:type="dxa"/>
          <w:bottom w:w="28" w:type="dxa"/>
          <w:right w:w="28" w:type="dxa"/>
        </w:tblCellMar>
      </w:tblPr>
      <w:tblGrid>
        <w:gridCol w:w="775"/>
        <w:gridCol w:w="683"/>
        <w:gridCol w:w="686"/>
        <w:gridCol w:w="320"/>
        <w:gridCol w:w="320"/>
        <w:gridCol w:w="455"/>
      </w:tblGrid>
      <w:tr>
        <w:trPr/>
        <w:tc>
          <w:tcPr>
            <w:tcW w:w="7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27-2220139</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2"/>
              </w:rPr>
            </w:pPr>
            <w:r>
              <w:rPr>
                <w:rFonts w:ascii="Times New Roman;sans-serif" w:hAnsi="Times New Roman;sans-serif"/>
                <w:b/>
                <w:color w:val="000000"/>
                <w:sz w:val="12"/>
              </w:rPr>
              <w:t>(State or other jurisdiction of</w:t>
            </w:r>
          </w:p>
          <w:p>
            <w:pPr>
              <w:pStyle w:val="TableContents"/>
              <w:bidi w:val="0"/>
              <w:spacing w:lineRule="auto" w:line="276" w:before="0" w:after="15"/>
              <w:jc w:val="center"/>
              <w:rPr>
                <w:rFonts w:ascii="Times New Roman;sans-serif" w:hAnsi="Times New Roman;sans-serif"/>
                <w:b/>
                <w:color w:val="000000"/>
                <w:sz w:val="12"/>
              </w:rPr>
            </w:pPr>
            <w:r>
              <w:rPr>
                <w:rFonts w:ascii="Times New Roman;sans-serif" w:hAnsi="Times New Roman;sans-serif"/>
                <w:b/>
                <w:color w:val="000000"/>
                <w:sz w:val="12"/>
              </w:rPr>
              <w:t>incorporation or organization)</w:t>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2"/>
              </w:rPr>
            </w:pPr>
            <w:r>
              <w:rPr>
                <w:rFonts w:ascii="Times New Roman;sans-serif" w:hAnsi="Times New Roman;sans-serif"/>
                <w:b/>
                <w:color w:val="000000"/>
                <w:sz w:val="12"/>
              </w:rPr>
              <w:t>(I.R.S. Employer</w:t>
            </w:r>
          </w:p>
          <w:p>
            <w:pPr>
              <w:pStyle w:val="TableContents"/>
              <w:bidi w:val="0"/>
              <w:spacing w:lineRule="auto" w:line="276" w:before="0" w:after="0"/>
              <w:jc w:val="center"/>
              <w:rPr>
                <w:rFonts w:ascii="Times New Roman;sans-serif" w:hAnsi="Times New Roman;sans-serif"/>
                <w:b/>
                <w:color w:val="000000"/>
                <w:sz w:val="12"/>
              </w:rPr>
            </w:pPr>
            <w:r>
              <w:rPr>
                <w:rFonts w:ascii="Times New Roman;sans-serif" w:hAnsi="Times New Roman;sans-serif"/>
                <w:b/>
                <w:color w:val="000000"/>
                <w:sz w:val="12"/>
              </w:rPr>
              <w:t>Identification No.)</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15"/>
              <w:jc w:val="center"/>
              <w:rPr>
                <w:rFonts w:ascii="Times New Roman;sans-serif" w:hAnsi="Times New Roman;sans-serif"/>
                <w:b/>
                <w:color w:val="000000"/>
                <w:sz w:val="18"/>
              </w:rPr>
            </w:pPr>
            <w:r>
              <w:rPr>
                <w:rFonts w:ascii="Times New Roman;sans-serif" w:hAnsi="Times New Roman;sans-serif"/>
                <w:b/>
                <w:color w:val="000000"/>
                <w:sz w:val="18"/>
              </w:rPr>
              <w:t>1359 Broadway</w:t>
            </w:r>
          </w:p>
          <w:p>
            <w:pPr>
              <w:pStyle w:val="TableContents"/>
              <w:bidi w:val="0"/>
              <w:spacing w:lineRule="auto" w:line="276" w:before="0" w:after="15"/>
              <w:jc w:val="center"/>
              <w:rPr/>
            </w:pPr>
            <w:r>
              <w:rPr>
                <w:rFonts w:ascii="Times New Roman;sans-serif" w:hAnsi="Times New Roman;sans-serif"/>
                <w:b/>
                <w:color w:val="000000"/>
                <w:sz w:val="18"/>
              </w:rPr>
              <w:t xml:space="preserve">New York, </w:t>
            </w:r>
            <w:r>
              <w:rPr>
                <w:rFonts w:ascii="Times New Roman;sans-serif" w:hAnsi="Times New Roman;sans-serif"/>
                <w:b/>
                <w:color w:val="000000"/>
                <w:sz w:val="20"/>
              </w:rPr>
              <w:t>New York</w:t>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10018</w:t>
            </w:r>
          </w:p>
        </w:tc>
      </w:tr>
      <w:tr>
        <w:trPr/>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(Address of principal executive offices)</w:t>
            </w:r>
          </w:p>
        </w:tc>
        <w:tc>
          <w:tcPr>
            <w:tcW w:w="10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2"/>
              </w:rPr>
            </w:pPr>
            <w:r>
              <w:rPr>
                <w:rFonts w:ascii="Times New Roman;sans-serif" w:hAnsi="Times New Roman;sans-serif"/>
                <w:b/>
                <w:color w:val="000000"/>
                <w:sz w:val="12"/>
              </w:rPr>
              <w:t>(Zip Code)</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(212) 888-3124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w:t>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06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$0.0001 par value per share</w:t>
            </w:r>
          </w:p>
        </w:tc>
        <w:tc>
          <w:tcPr>
            <w:tcW w:w="14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PGNY</w:t>
            </w:r>
          </w:p>
        </w:tc>
        <w:tc>
          <w:tcPr>
            <w:tcW w:w="331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lineRule="auto" w:line="288" w:before="120" w:after="283"/>
        <w:ind w:left="0" w:right="0" w:firstLine="720"/>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72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14"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120" w:after="283"/>
        <w:ind w:left="0" w:right="0" w:firstLine="720"/>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720"/>
        <w:jc w:val="both"/>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April 30, 2025, the registrant had 85,718,029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2"/>
        <w:gridCol w:w="274"/>
        <w:gridCol w:w="276"/>
        <w:gridCol w:w="2941"/>
        <w:gridCol w:w="2941"/>
        <w:gridCol w:w="2947"/>
        <w:gridCol w:w="149"/>
        <w:gridCol w:w="149"/>
        <w:gridCol w:w="216"/>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6">
              <w:r>
                <w:rPr>
                  <w:rStyle w:val="InternetLink"/>
                  <w:rFonts w:ascii="Times New Roman;sans-serif" w:hAnsi="Times New Roman;sans-serif"/>
                  <w:b/>
                  <w:color w:val="0000FF"/>
                  <w:sz w:val="20"/>
                  <w:u w:val="single"/>
                </w:rPr>
                <w:t>PART I.</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6">
              <w:r>
                <w:rPr>
                  <w:rStyle w:val="InternetLink"/>
                  <w:rFonts w:ascii="Times New Roman;sans-serif" w:hAnsi="Times New Roman;sans-serif"/>
                  <w:b/>
                  <w:color w:val="0000FF"/>
                  <w:sz w:val="20"/>
                  <w:u w:val="single"/>
                </w:rPr>
                <w:t>FINANCIAL INFORMATION</w:t>
              </w:r>
            </w:hyperlink>
          </w:p>
        </w:tc>
        <w:tc>
          <w:tcPr>
            <w:tcW w:w="51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9">
              <w:r>
                <w:rPr>
                  <w:rStyle w:val="InternetLink"/>
                  <w:rFonts w:ascii="Times New Roman;sans-serif" w:hAnsi="Times New Roman;sans-serif"/>
                  <w:b w:val="false"/>
                  <w:color w:val="0000FF"/>
                  <w:sz w:val="20"/>
                  <w:u w:val="single"/>
                </w:rPr>
                <w:t>Item 1.</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9">
              <w:r>
                <w:rPr>
                  <w:rStyle w:val="InternetLink"/>
                  <w:rFonts w:ascii="Times New Roman;sans-serif" w:hAnsi="Times New Roman;sans-serif"/>
                  <w:b w:val="false"/>
                  <w:color w:val="0000FF"/>
                  <w:sz w:val="20"/>
                  <w:u w:val="single"/>
                </w:rPr>
                <w:t>Financial Statements (Unaudited)</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22">
              <w:r>
                <w:rPr>
                  <w:rStyle w:val="InternetLink"/>
                  <w:rFonts w:ascii="Times New Roman;sans-serif" w:hAnsi="Times New Roman;sans-serif"/>
                  <w:b w:val="false"/>
                  <w:color w:val="0000FF"/>
                  <w:sz w:val="20"/>
                  <w:u w:val="single"/>
                </w:rPr>
                <w:t>Consolidated Balance Sheets as of March 31, 2025 and December 31, 2024</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22">
              <w:r>
                <w:rPr>
                  <w:rStyle w:val="InternetLink"/>
                  <w:rFonts w:ascii="Times New Roman;sans-serif" w:hAnsi="Times New Roman;sans-serif"/>
                  <w:b w:val="false"/>
                  <w:color w:val="0000FF"/>
                  <w:sz w:val="20"/>
                  <w:u w:val="single"/>
                </w:rPr>
                <w:t>6</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25">
              <w:r>
                <w:rPr>
                  <w:rStyle w:val="InternetLink"/>
                  <w:rFonts w:ascii="Times New Roman;sans-serif" w:hAnsi="Times New Roman;sans-serif"/>
                  <w:b w:val="false"/>
                  <w:color w:val="0000FF"/>
                  <w:sz w:val="20"/>
                  <w:u w:val="single"/>
                </w:rPr>
                <w:t>Consolidated Statements of Operations for the Three Months Ended March 31, 2025 and 2024</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25">
              <w:r>
                <w:rPr>
                  <w:rStyle w:val="InternetLink"/>
                  <w:rFonts w:ascii="Times New Roman;sans-serif" w:hAnsi="Times New Roman;sans-serif"/>
                  <w:b w:val="false"/>
                  <w:color w:val="0000FF"/>
                  <w:sz w:val="20"/>
                  <w:u w:val="single"/>
                </w:rPr>
                <w:t>7</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28">
              <w:r>
                <w:rPr>
                  <w:rStyle w:val="InternetLink"/>
                  <w:rFonts w:ascii="Times New Roman;sans-serif" w:hAnsi="Times New Roman;sans-serif"/>
                  <w:b w:val="false"/>
                  <w:color w:val="0000FF"/>
                  <w:sz w:val="20"/>
                  <w:u w:val="single"/>
                </w:rPr>
                <w:t>Consolidated Statements of Comprehensive Income for the Three Months Ended March 31, 2025 and 2024</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28">
              <w:r>
                <w:rPr>
                  <w:rStyle w:val="InternetLink"/>
                  <w:rFonts w:ascii="Times New Roman;sans-serif" w:hAnsi="Times New Roman;sans-serif"/>
                  <w:b w:val="false"/>
                  <w:color w:val="0000FF"/>
                  <w:sz w:val="20"/>
                  <w:u w:val="single"/>
                </w:rPr>
                <w:t>8</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31">
              <w:r>
                <w:rPr>
                  <w:rStyle w:val="InternetLink"/>
                  <w:rFonts w:ascii="Times New Roman;sans-serif" w:hAnsi="Times New Roman;sans-serif"/>
                  <w:b w:val="false"/>
                  <w:color w:val="0000FF"/>
                  <w:sz w:val="20"/>
                  <w:u w:val="single"/>
                </w:rPr>
                <w:t>Consolidated Statements of Changes in Stockholders’ Equity for the Three Months Ended March 31, 2025 and 2024</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31">
              <w:r>
                <w:rPr>
                  <w:rStyle w:val="InternetLink"/>
                  <w:rFonts w:ascii="Times New Roman;sans-serif" w:hAnsi="Times New Roman;sans-serif"/>
                  <w:b w:val="false"/>
                  <w:color w:val="0000FF"/>
                  <w:sz w:val="20"/>
                  <w:u w:val="single"/>
                </w:rPr>
                <w:t>9</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34">
              <w:r>
                <w:rPr>
                  <w:rStyle w:val="InternetLink"/>
                  <w:rFonts w:ascii="Times New Roman;sans-serif" w:hAnsi="Times New Roman;sans-serif"/>
                  <w:b w:val="false"/>
                  <w:color w:val="0000FF"/>
                  <w:sz w:val="20"/>
                  <w:u w:val="single"/>
                </w:rPr>
                <w:t>Consolidated Statements of Cash Flows for the Three Months Ended March 31, 2025 and 2024</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34">
              <w:r>
                <w:rPr>
                  <w:rStyle w:val="InternetLink"/>
                  <w:rFonts w:ascii="Times New Roman;sans-serif" w:hAnsi="Times New Roman;sans-serif"/>
                  <w:b w:val="false"/>
                  <w:color w:val="0000FF"/>
                  <w:sz w:val="20"/>
                  <w:u w:val="single"/>
                </w:rPr>
                <w:t>10</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37">
              <w:r>
                <w:rPr>
                  <w:rStyle w:val="InternetLink"/>
                  <w:rFonts w:ascii="Times New Roman;sans-serif" w:hAnsi="Times New Roman;sans-serif"/>
                  <w:b w:val="false"/>
                  <w:color w:val="0000FF"/>
                  <w:sz w:val="20"/>
                  <w:u w:val="single"/>
                </w:rPr>
                <w:t>Notes to Consolidated Financial Statements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37">
              <w:r>
                <w:rPr>
                  <w:rStyle w:val="InternetLink"/>
                  <w:rFonts w:ascii="Times New Roman;sans-serif" w:hAnsi="Times New Roman;sans-serif"/>
                  <w:b w:val="false"/>
                  <w:color w:val="0000FF"/>
                  <w:sz w:val="20"/>
                  <w:u w:val="single"/>
                </w:rPr>
                <w:t>11</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67">
              <w:r>
                <w:rPr>
                  <w:rStyle w:val="InternetLink"/>
                  <w:rFonts w:ascii="Times New Roman;sans-serif" w:hAnsi="Times New Roman;sans-serif"/>
                  <w:b w:val="false"/>
                  <w:color w:val="0000FF"/>
                  <w:sz w:val="20"/>
                  <w:u w:val="single"/>
                </w:rPr>
                <w:t>Item 2.</w:t>
              </w:r>
            </w:hyperlink>
          </w:p>
        </w:tc>
        <w:tc>
          <w:tcPr>
            <w:tcW w:w="882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67">
              <w:r>
                <w:rPr>
                  <w:rStyle w:val="InternetLink"/>
                  <w:rFonts w:ascii="Times New Roman;sans-serif" w:hAnsi="Times New Roman;sans-serif"/>
                  <w:b w:val="false"/>
                  <w:color w:val="0000FF"/>
                  <w:sz w:val="20"/>
                  <w:u w:val="single"/>
                </w:rPr>
                <w:t>23</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3">
              <w:r>
                <w:rPr>
                  <w:rStyle w:val="InternetLink"/>
                  <w:rFonts w:ascii="Times New Roman;sans-serif" w:hAnsi="Times New Roman;sans-serif"/>
                  <w:b w:val="false"/>
                  <w:color w:val="0000FF"/>
                  <w:sz w:val="20"/>
                  <w:u w:val="single"/>
                </w:rPr>
                <w:t>Item 3.</w:t>
              </w:r>
            </w:hyperlink>
          </w:p>
        </w:tc>
        <w:tc>
          <w:tcPr>
            <w:tcW w:w="882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3">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03">
              <w:r>
                <w:rPr>
                  <w:rStyle w:val="InternetLink"/>
                  <w:rFonts w:ascii="Times New Roman;sans-serif" w:hAnsi="Times New Roman;sans-serif"/>
                  <w:b w:val="false"/>
                  <w:color w:val="0000FF"/>
                  <w:sz w:val="20"/>
                  <w:u w:val="single"/>
                </w:rPr>
                <w:t>36</w:t>
              </w:r>
            </w:hyperlink>
          </w:p>
        </w:tc>
      </w:tr>
      <w:tr>
        <w:trPr/>
        <w:tc>
          <w:tcPr>
            <w:tcW w:w="86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6">
              <w:r>
                <w:rPr>
                  <w:rStyle w:val="InternetLink"/>
                  <w:rFonts w:ascii="Times New Roman;sans-serif" w:hAnsi="Times New Roman;sans-serif"/>
                  <w:b w:val="false"/>
                  <w:color w:val="0000FF"/>
                  <w:sz w:val="20"/>
                  <w:u w:val="single"/>
                </w:rPr>
                <w:t>Item 4.</w:t>
              </w:r>
            </w:hyperlink>
          </w:p>
        </w:tc>
        <w:tc>
          <w:tcPr>
            <w:tcW w:w="882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6">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06">
              <w:r>
                <w:rPr>
                  <w:rStyle w:val="InternetLink"/>
                  <w:rFonts w:ascii="Times New Roman;sans-serif" w:hAnsi="Times New Roman;sans-serif"/>
                  <w:b w:val="false"/>
                  <w:color w:val="0000FF"/>
                  <w:sz w:val="20"/>
                  <w:u w:val="single"/>
                </w:rPr>
                <w:t>37</w:t>
              </w:r>
            </w:hyperlink>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9">
              <w:r>
                <w:rPr>
                  <w:rStyle w:val="InternetLink"/>
                  <w:rFonts w:ascii="Times New Roman;sans-serif" w:hAnsi="Times New Roman;sans-serif"/>
                  <w:b/>
                  <w:color w:val="0000FF"/>
                  <w:sz w:val="20"/>
                  <w:u w:val="single"/>
                </w:rPr>
                <w:t>PART II.</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09">
              <w:r>
                <w:rPr>
                  <w:rStyle w:val="InternetLink"/>
                  <w:rFonts w:ascii="Times New Roman;sans-serif" w:hAnsi="Times New Roman;sans-serif"/>
                  <w:b/>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2">
              <w:r>
                <w:rPr>
                  <w:rStyle w:val="InternetLink"/>
                  <w:rFonts w:ascii="Times New Roman;sans-serif" w:hAnsi="Times New Roman;sans-serif"/>
                  <w:b w:val="false"/>
                  <w:color w:val="0000FF"/>
                  <w:sz w:val="20"/>
                  <w:u w:val="single"/>
                </w:rPr>
                <w:t>Item 1.</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2">
              <w:r>
                <w:rPr>
                  <w:rStyle w:val="InternetLink"/>
                  <w:rFonts w:ascii="Times New Roman;sans-serif" w:hAnsi="Times New Roman;sans-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12">
              <w:r>
                <w:rPr>
                  <w:rStyle w:val="InternetLink"/>
                  <w:rFonts w:ascii="Times New Roman;sans-serif" w:hAnsi="Times New Roman;sans-serif"/>
                  <w:b w:val="false"/>
                  <w:color w:val="0000FF"/>
                  <w:sz w:val="20"/>
                  <w:u w:val="single"/>
                </w:rPr>
                <w:t>38</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5">
              <w:r>
                <w:rPr>
                  <w:rStyle w:val="InternetLink"/>
                  <w:rFonts w:ascii="Times New Roman;sans-serif" w:hAnsi="Times New Roman;sans-serif"/>
                  <w:b w:val="false"/>
                  <w:color w:val="0000FF"/>
                  <w:sz w:val="20"/>
                  <w:u w:val="single"/>
                </w:rPr>
                <w:t>Item 1A.</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5">
              <w:r>
                <w:rPr>
                  <w:rStyle w:val="InternetLink"/>
                  <w:rFonts w:ascii="Times New Roman;sans-serif" w:hAnsi="Times New Roman;sans-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15">
              <w:r>
                <w:rPr>
                  <w:rStyle w:val="InternetLink"/>
                  <w:rFonts w:ascii="Times New Roman;sans-serif" w:hAnsi="Times New Roman;sans-serif"/>
                  <w:b w:val="false"/>
                  <w:color w:val="0000FF"/>
                  <w:sz w:val="20"/>
                  <w:u w:val="single"/>
                </w:rPr>
                <w:t>38</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8">
              <w:r>
                <w:rPr>
                  <w:rStyle w:val="InternetLink"/>
                  <w:rFonts w:ascii="Times New Roman;sans-serif" w:hAnsi="Times New Roman;sans-serif"/>
                  <w:b w:val="false"/>
                  <w:color w:val="0000FF"/>
                  <w:sz w:val="20"/>
                  <w:u w:val="single"/>
                </w:rPr>
                <w:t>Item 2.</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18">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18">
              <w:r>
                <w:rPr>
                  <w:rStyle w:val="InternetLink"/>
                  <w:rFonts w:ascii="Times New Roman;sans-serif" w:hAnsi="Times New Roman;sans-serif"/>
                  <w:b w:val="false"/>
                  <w:color w:val="0000FF"/>
                  <w:sz w:val="20"/>
                  <w:u w:val="single"/>
                </w:rPr>
                <w:t>62</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1">
              <w:r>
                <w:rPr>
                  <w:rStyle w:val="InternetLink"/>
                  <w:rFonts w:ascii="Times New Roman;sans-serif" w:hAnsi="Times New Roman;sans-serif"/>
                  <w:b w:val="false"/>
                  <w:color w:val="0000FF"/>
                  <w:sz w:val="20"/>
                  <w:u w:val="single"/>
                </w:rPr>
                <w:t>Item 3.</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1">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21">
              <w:r>
                <w:rPr>
                  <w:rStyle w:val="InternetLink"/>
                  <w:rFonts w:ascii="Times New Roman;sans-serif" w:hAnsi="Times New Roman;sans-serif"/>
                  <w:b w:val="false"/>
                  <w:color w:val="0000FF"/>
                  <w:sz w:val="20"/>
                  <w:u w:val="single"/>
                </w:rPr>
                <w:t>62</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4">
              <w:r>
                <w:rPr>
                  <w:rStyle w:val="InternetLink"/>
                  <w:rFonts w:ascii="Times New Roman;sans-serif" w:hAnsi="Times New Roman;sans-serif"/>
                  <w:b w:val="false"/>
                  <w:color w:val="0000FF"/>
                  <w:sz w:val="20"/>
                  <w:u w:val="single"/>
                </w:rPr>
                <w:t>Item 4.</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4">
              <w:r>
                <w:rPr>
                  <w:rStyle w:val="InternetLink"/>
                  <w:rFonts w:ascii="Times New Roman;sans-serif" w:hAnsi="Times New Roman;sans-serif"/>
                  <w:b w:val="false"/>
                  <w:color w:val="0000FF"/>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24">
              <w:r>
                <w:rPr>
                  <w:rStyle w:val="InternetLink"/>
                  <w:rFonts w:ascii="Times New Roman;sans-serif" w:hAnsi="Times New Roman;sans-serif"/>
                  <w:b w:val="false"/>
                  <w:color w:val="0000FF"/>
                  <w:sz w:val="20"/>
                  <w:u w:val="single"/>
                </w:rPr>
                <w:t>62</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7">
              <w:r>
                <w:rPr>
                  <w:rStyle w:val="InternetLink"/>
                  <w:rFonts w:ascii="Times New Roman;sans-serif" w:hAnsi="Times New Roman;sans-serif"/>
                  <w:b w:val="false"/>
                  <w:color w:val="0000FF"/>
                  <w:sz w:val="20"/>
                  <w:u w:val="single"/>
                </w:rPr>
                <w:t>Item 5.</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27">
              <w:r>
                <w:rPr>
                  <w:rStyle w:val="InternetLink"/>
                  <w:rFonts w:ascii="Times New Roman;sans-serif" w:hAnsi="Times New Roman;sans-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27">
              <w:r>
                <w:rPr>
                  <w:rStyle w:val="InternetLink"/>
                  <w:rFonts w:ascii="Times New Roman;sans-serif" w:hAnsi="Times New Roman;sans-serif"/>
                  <w:b w:val="false"/>
                  <w:color w:val="0000FF"/>
                  <w:sz w:val="20"/>
                  <w:u w:val="single"/>
                </w:rPr>
                <w:t>62</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33">
              <w:r>
                <w:rPr>
                  <w:rStyle w:val="InternetLink"/>
                  <w:rFonts w:ascii="Times New Roman;sans-serif" w:hAnsi="Times New Roman;sans-serif"/>
                  <w:b w:val="false"/>
                  <w:color w:val="0000FF"/>
                  <w:sz w:val="20"/>
                  <w:u w:val="single"/>
                </w:rPr>
                <w:t>Item 6.</w:t>
              </w:r>
            </w:hyperlink>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30">
              <w:r>
                <w:rPr>
                  <w:rStyle w:val="InternetLink"/>
                  <w:rFonts w:ascii="Times New Roman;sans-serif" w:hAnsi="Times New Roman;sans-serif"/>
                  <w:b w:val="false"/>
                  <w:color w:val="0000FF"/>
                  <w:sz w:val="20"/>
                  <w:u w:val="single"/>
                </w:rPr>
                <w:t>Exhibits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30">
              <w:r>
                <w:rPr>
                  <w:rStyle w:val="InternetLink"/>
                  <w:rFonts w:ascii="Times New Roman;sans-serif" w:hAnsi="Times New Roman;sans-serif"/>
                  <w:b w:val="false"/>
                  <w:color w:val="0000FF"/>
                  <w:sz w:val="20"/>
                  <w:u w:val="single"/>
                </w:rPr>
                <w:t>63</w:t>
              </w:r>
            </w:hyperlink>
          </w:p>
        </w:tc>
      </w:tr>
      <w:tr>
        <w:trPr/>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d9afbabdceed4c78b2e77c21e334c072_133">
              <w:r>
                <w:rPr>
                  <w:rStyle w:val="InternetLink"/>
                  <w:rFonts w:ascii="Times New Roman;sans-serif" w:hAnsi="Times New Roman;sans-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d9afbabdceed4c78b2e77c21e334c072_133">
              <w:r>
                <w:rPr>
                  <w:rStyle w:val="InternetLink"/>
                  <w:rFonts w:ascii="Times New Roman;sans-serif" w:hAnsi="Times New Roman;sans-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CAUTIONARY NOTE REGARDING FORWARD-LOOKING STATEMENTS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 of public health emergencies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“seek,” “assume,” “future,” “continue” or “aim”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SUMMARY OF RISKS AFFECTING OUR BUSINESS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make an investment in our common stock speculative or risky. This summary does not address all of the risks and uncertainties that we face. Additional discussion of the risks summarized in this risk factor summary, and other risks and uncertainties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shd w:fill="FFFFFF" w:val="clear"/>
        </w:rPr>
        <w:t>We may fail to meet our publicly announced guidance or other expectations about our business and future results of operations, which would cause our stock price to decline.</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shd w:fill="FFFFFF" w:val="clear"/>
        </w:rPr>
        <w:t xml:space="preserve">The market in which we operate is highly competitive, and, if we do not continue to compete effectively, our business, financial condition and results of operations could be harmed. </w:t>
      </w:r>
    </w:p>
    <w:p>
      <w:pPr>
        <w:pStyle w:val="TextBody"/>
        <w:bidi w:val="0"/>
        <w:spacing w:lineRule="auto" w:line="276" w:before="0" w:after="240"/>
        <w:ind w:left="0" w:right="0" w:hanging="360"/>
        <w:jc w:val="both"/>
        <w:rPr/>
      </w:pPr>
      <w:r>
        <w:rPr>
          <w:color w:val="000000"/>
          <w:shd w:fill="FFFFFF" w:val="clear"/>
        </w:rPr>
        <w:t>•</w:t>
      </w:r>
      <w:r>
        <w:rPr>
          <w:rFonts w:ascii="Times New Roman;sans-serif" w:hAnsi="Times New Roman;sans-serif"/>
          <w:b w:val="false"/>
          <w:color w:val="000000"/>
          <w:sz w:val="20"/>
        </w:rPr>
        <w:t>Unfavorable conditions in the global economy or our industry could limit our ability to grow our business and negatively affect our results of operations.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Our business depends on our ability to retain our existing clients and increase the adoption of our services within our client base. Any failure to do so would harm our business, financial condition and results of operations.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 xml:space="preserve">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 </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If we are unable to attract new clients, our business, financial condition and results of operations would be adversely affected.</w:t>
      </w:r>
    </w:p>
    <w:p>
      <w:pPr>
        <w:pStyle w:val="TextBody"/>
        <w:bidi w:val="0"/>
        <w:spacing w:lineRule="auto" w:line="276" w:before="0" w:after="240"/>
        <w:ind w:left="0" w:right="0" w:hanging="360"/>
        <w:jc w:val="both"/>
        <w:rPr/>
      </w:pPr>
      <w:r>
        <w:rPr>
          <w:color w:val="000000"/>
          <w:shd w:fill="FFFFFF" w:val="clear"/>
        </w:rPr>
        <w:t>•</w:t>
      </w:r>
      <w:r>
        <w:rPr>
          <w:rFonts w:ascii="Times New Roman;sans-serif" w:hAnsi="Times New Roman;sans-serif"/>
          <w:b w:val="false"/>
          <w:color w:val="000000"/>
          <w:sz w:val="20"/>
        </w:rPr>
        <w:t>A significant change in the utilization of our fertility solutions, including the consumption rate or the mix of utilization, could have an adverse effect on our business, financial condition and results of operations.</w:t>
      </w:r>
    </w:p>
    <w:p>
      <w:pPr>
        <w:pStyle w:val="TextBody"/>
        <w:bidi w:val="0"/>
        <w:spacing w:lineRule="auto" w:line="276" w:before="0" w:after="240"/>
        <w:ind w:left="0" w:right="0" w:hanging="360"/>
        <w:jc w:val="both"/>
        <w:rPr/>
      </w:pPr>
      <w:r>
        <w:rPr>
          <w:color w:val="000000"/>
          <w:shd w:fill="FFFFFF" w:val="clear"/>
        </w:rPr>
        <w:t>•</w:t>
      </w:r>
      <w:r>
        <w:rPr>
          <w:rFonts w:ascii="Times New Roman;sans-serif" w:hAnsi="Times New Roman;sans-serif"/>
          <w:b w:val="false"/>
          <w:color w:val="000000"/>
          <w:sz w:val="20"/>
        </w:rPr>
        <w:t xml:space="preserve">Acquisitions, strategic investments, or partnerships could be difficult to identify, pose integration challenges, divert the attention of management, disrupt our business, dilute stockholder value, and adversely affect our business, financial condition and results of operations. </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 xml:space="preserve">We have a limited operating history with our current platform of solutions, which makes it difficult to predict our future results of operations. </w:t>
      </w:r>
    </w:p>
    <w:p>
      <w:pPr>
        <w:pStyle w:val="TextBody"/>
        <w:bidi w:val="0"/>
        <w:spacing w:lineRule="auto" w:line="276" w:before="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health benefits industry may be subject to negative publicity, which could adversely affect our business, financial condition and results of operations.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Our growth depends in part on the success of our strategic relationships with, and monitoring of, third parties, including channel partners and vendors as well as insurance carriers.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 xml:space="preserve">If we fail to maintain an efficient pharmacy distribution network or if there is a disruption to our network of specialty pharmacies or their supply chains, our business, financial condition and results of operations could suffer. </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We operate in a highly regulated industry and must comply with a significant number of new and evolving legal and regulatory requirements, as well as complex judicial mandates.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We are part of the broader healthcare industry and subject to increasing scrutiny and regulation within our business, including with respect to Progyny Rx’s PBM operations, which may adversely affect our business, financial condition and results of operations.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Quarterly Report on Form 10-Q to the terms “Progyny,” “the Company,” “we,” “our” and “us” refer to Progyny, Inc. and its wholly owned subsidiaries.</w:t>
      </w:r>
    </w:p>
    <w:p>
      <w:pPr>
        <w:pStyle w:val="TextBody"/>
        <w:bidi w:val="0"/>
        <w:spacing w:lineRule="auto" w:line="288" w:before="240" w:after="283"/>
        <w:jc w:val="both"/>
        <w:rPr>
          <w:color w:val="000000"/>
        </w:rPr>
      </w:pPr>
      <w:r>
        <w:rPr>
          <w:color w:val="000000"/>
        </w:rPr>
        <w:t>“</w:t>
      </w:r>
      <w:r>
        <w:rPr>
          <w:rFonts w:ascii="Times New Roman;sans-serif" w:hAnsi="Times New Roman;sans-serif"/>
          <w:b w:val="false"/>
          <w:color w:val="000000"/>
          <w:sz w:val="20"/>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pStyle w:val="TextBody"/>
        <w:bidi w:val="0"/>
        <w:spacing w:lineRule="auto" w:line="288" w:before="240" w:after="283"/>
        <w:jc w:val="both"/>
        <w:rPr/>
      </w:pPr>
      <w:r>
        <w:rPr>
          <w:rFonts w:ascii="Times New Roman;sans-serif" w:hAnsi="Times New Roman;sans-serif"/>
          <w:b w:val="false"/>
          <w:color w:val="000000"/>
          <w:sz w:val="20"/>
        </w:rPr>
        <w:t xml:space="preserve">We announce material information to the public through filings with the SEC, our investor relations website at </w:t>
      </w:r>
      <w:r>
        <w:rPr>
          <w:rFonts w:ascii="Times New Roman;sans-serif" w:hAnsi="Times New Roman;sans-serif"/>
          <w:b w:val="false"/>
          <w:i/>
          <w:color w:val="000000"/>
          <w:sz w:val="20"/>
        </w:rPr>
        <w:t>investors.progyny.com</w:t>
      </w:r>
      <w:r>
        <w:rPr>
          <w:rFonts w:ascii="Times New Roman;sans-serif" w:hAnsi="Times New Roman;sans-serif"/>
          <w:b w:val="false"/>
          <w:color w:val="000000"/>
          <w:sz w:val="20"/>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PROGYNY,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3122"/>
        <w:gridCol w:w="2226"/>
        <w:gridCol w:w="2192"/>
        <w:gridCol w:w="211"/>
        <w:gridCol w:w="826"/>
        <w:gridCol w:w="109"/>
        <w:gridCol w:w="109"/>
        <w:gridCol w:w="109"/>
        <w:gridCol w:w="109"/>
        <w:gridCol w:w="211"/>
        <w:gridCol w:w="826"/>
        <w:gridCol w:w="155"/>
      </w:tblGrid>
      <w:tr>
        <w:trPr/>
        <w:tc>
          <w:tcPr>
            <w:tcW w:w="312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$58,610 and $56,355 of allowance at March 31,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liabilities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Commitments and Contingencies </w:t>
            </w:r>
            <w:r>
              <w:rPr>
                <w:rFonts w:ascii="Times New Roman;sans-serif" w:hAnsi="Times New Roman;sans-serif"/>
                <w:b w:val="false"/>
                <w:i/>
                <w:color w:val="000000"/>
                <w:sz w:val="20"/>
              </w:rPr>
              <w:t>(Note 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shares authorized; at March 31, 2025 and December 31, 2024, respectively; 98,052,017 and 97,692,891 shares issued; 85,669,824 and 85,310,698 outstanding at March 31,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$0.0001 par value; 12,998,173 and 12,998,173 shares at March 31,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stockholders’ equity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422,062 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730,285 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607,102 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PROGYNY,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xml:space="preserve">(Unaudited)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tbl>
      <w:tblPr>
        <w:tblW w:w="8331" w:type="dxa"/>
        <w:jc w:val="center"/>
        <w:tblInd w:w="0" w:type="dxa"/>
        <w:tblLayout w:type="fixed"/>
        <w:tblCellMar>
          <w:top w:w="28" w:type="dxa"/>
          <w:left w:w="28" w:type="dxa"/>
          <w:bottom w:w="28" w:type="dxa"/>
          <w:right w:w="28" w:type="dxa"/>
        </w:tblCellMar>
      </w:tblPr>
      <w:tblGrid>
        <w:gridCol w:w="1980"/>
        <w:gridCol w:w="1745"/>
        <w:gridCol w:w="1749"/>
        <w:gridCol w:w="219"/>
        <w:gridCol w:w="862"/>
        <w:gridCol w:w="109"/>
        <w:gridCol w:w="109"/>
        <w:gridCol w:w="109"/>
        <w:gridCol w:w="109"/>
        <w:gridCol w:w="240"/>
        <w:gridCol w:w="946"/>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278,078 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1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w:t>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85,499,153 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96,484,657 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89,307,934 </w:t>
            </w:r>
          </w:p>
        </w:tc>
        <w:tc>
          <w:tcPr>
            <w:tcW w:w="1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101,052,933 </w:t>
            </w:r>
          </w:p>
        </w:tc>
        <w:tc>
          <w:tcPr>
            <w:tcW w:w="15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PROGYNY,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 of Comprehensive Income</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8824" w:type="dxa"/>
        <w:jc w:val="left"/>
        <w:tblInd w:w="0" w:type="dxa"/>
        <w:tblLayout w:type="fixed"/>
        <w:tblCellMar>
          <w:top w:w="28" w:type="dxa"/>
          <w:left w:w="28" w:type="dxa"/>
          <w:bottom w:w="28" w:type="dxa"/>
          <w:right w:w="28" w:type="dxa"/>
        </w:tblCellMar>
      </w:tblPr>
      <w:tblGrid>
        <w:gridCol w:w="2285"/>
        <w:gridCol w:w="2005"/>
        <w:gridCol w:w="2024"/>
        <w:gridCol w:w="283"/>
        <w:gridCol w:w="338"/>
        <w:gridCol w:w="338"/>
        <w:gridCol w:w="146"/>
        <w:gridCol w:w="146"/>
        <w:gridCol w:w="146"/>
        <w:gridCol w:w="312"/>
        <w:gridCol w:w="378"/>
        <w:gridCol w:w="423"/>
      </w:tblGrid>
      <w:tr>
        <w:trPr/>
        <w:tc>
          <w:tcPr>
            <w:tcW w:w="2285"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w:t>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marketable securities before reclassifications</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gains on the sale of marketable securities into net income</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on unrealized losses/gains on marketable securities</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w:t>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PROGYNY, INC.</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Changes in Stockholders’ Equity</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(Unaudited)</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 except share amounts)</w:t>
      </w:r>
    </w:p>
    <w:tbl>
      <w:tblPr>
        <w:tblW w:w="10431" w:type="dxa"/>
        <w:jc w:val="center"/>
        <w:tblInd w:w="0" w:type="dxa"/>
        <w:tblLayout w:type="fixed"/>
        <w:tblCellMar>
          <w:top w:w="28" w:type="dxa"/>
          <w:left w:w="28" w:type="dxa"/>
          <w:bottom w:w="28" w:type="dxa"/>
          <w:right w:w="28" w:type="dxa"/>
        </w:tblCellMar>
      </w:tblPr>
      <w:tblGrid>
        <w:gridCol w:w="770"/>
        <w:gridCol w:w="200"/>
        <w:gridCol w:w="201"/>
        <w:gridCol w:w="480"/>
        <w:gridCol w:w="481"/>
        <w:gridCol w:w="196"/>
        <w:gridCol w:w="109"/>
        <w:gridCol w:w="109"/>
        <w:gridCol w:w="109"/>
        <w:gridCol w:w="248"/>
        <w:gridCol w:w="305"/>
        <w:gridCol w:w="138"/>
        <w:gridCol w:w="109"/>
        <w:gridCol w:w="109"/>
        <w:gridCol w:w="109"/>
        <w:gridCol w:w="196"/>
        <w:gridCol w:w="751"/>
        <w:gridCol w:w="109"/>
        <w:gridCol w:w="109"/>
        <w:gridCol w:w="109"/>
        <w:gridCol w:w="109"/>
        <w:gridCol w:w="196"/>
        <w:gridCol w:w="736"/>
        <w:gridCol w:w="109"/>
        <w:gridCol w:w="109"/>
        <w:gridCol w:w="109"/>
        <w:gridCol w:w="109"/>
        <w:gridCol w:w="197"/>
        <w:gridCol w:w="743"/>
        <w:gridCol w:w="111"/>
        <w:gridCol w:w="109"/>
        <w:gridCol w:w="109"/>
        <w:gridCol w:w="109"/>
        <w:gridCol w:w="276"/>
        <w:gridCol w:w="785"/>
        <w:gridCol w:w="155"/>
        <w:gridCol w:w="109"/>
        <w:gridCol w:w="109"/>
        <w:gridCol w:w="109"/>
        <w:gridCol w:w="196"/>
        <w:gridCol w:w="736"/>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85,310,698 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employee equity awards, net of shares withheld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359,126 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138"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85,669,824 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159,366 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
              <w:jc w:val="left"/>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96,348,522 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employee equity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490,871 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(723,577)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9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96,115,816 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489,343 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106,869 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571,604 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PROGYNY, INC.</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bidi w:val="0"/>
        <w:spacing w:lineRule="auto" w:line="288" w:before="120" w:after="283"/>
        <w:jc w:val="center"/>
        <w:rPr>
          <w:rFonts w:ascii="Times New Roman;sans-serif" w:hAnsi="Times New Roman;sans-serif"/>
          <w:b/>
          <w:i/>
          <w:color w:val="000000"/>
          <w:sz w:val="18"/>
        </w:rPr>
      </w:pPr>
      <w:r>
        <w:rPr>
          <w:rFonts w:ascii="Times New Roman;sans-serif" w:hAnsi="Times New Roman;sans-serif"/>
          <w:b/>
          <w:i/>
          <w:color w:val="000000"/>
          <w:sz w:val="18"/>
        </w:rPr>
        <w:t>(Unaudited)</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bl>
      <w:tblPr>
        <w:tblW w:w="9936" w:type="dxa"/>
        <w:jc w:val="center"/>
        <w:tblInd w:w="0" w:type="dxa"/>
        <w:tblLayout w:type="fixed"/>
        <w:tblCellMar>
          <w:top w:w="28" w:type="dxa"/>
          <w:left w:w="28" w:type="dxa"/>
          <w:bottom w:w="28" w:type="dxa"/>
          <w:right w:w="28" w:type="dxa"/>
        </w:tblCellMar>
      </w:tblPr>
      <w:tblGrid>
        <w:gridCol w:w="2593"/>
        <w:gridCol w:w="2275"/>
        <w:gridCol w:w="2287"/>
        <w:gridCol w:w="109"/>
        <w:gridCol w:w="109"/>
        <w:gridCol w:w="109"/>
        <w:gridCol w:w="196"/>
        <w:gridCol w:w="736"/>
        <w:gridCol w:w="109"/>
        <w:gridCol w:w="109"/>
        <w:gridCol w:w="109"/>
        <w:gridCol w:w="109"/>
        <w:gridCol w:w="196"/>
        <w:gridCol w:w="736"/>
        <w:gridCol w:w="154"/>
      </w:tblGrid>
      <w:tr>
        <w:trPr/>
        <w:tc>
          <w:tcPr>
            <w:tcW w:w="2593"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accretion of discounts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25,732 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Acquisition of business, net of cash acquired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employee taxes related to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contributions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114,239 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114,959 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within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114,239 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114,959 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 net of refunds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of property and equipment, net included in 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PROGYNY,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1.Business and Basis of Presentation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Progyny, Inc. (together with its subsidiaries referred to as “Progyny” or the “Company”) was incorporated in the state of Delaware on April 3, 2008, and maintains its corporate headquarters in New York, NY. </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Progyny is a benefits management company specializing in fertility, family building and women's health benefits solutions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Progyny Care Advocates (“PCAs”) (collectively, the “care management services”).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enhanced its benefits solution offerings with the launch of its pharmacy benefits solution, Progyny Rx,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Progyny Rx is only available as an add-on service to the fertility benefits solution.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March 31, 2025, the results of the Company's operations for the three months ended March 31, 2025 and 2024 and the results of the Company's cash flows for the three months ended March 31, 2025 and 2024. Therefore, these unaudited consolidated financial statements should be read in conjunction with the audited consolidated financial statements and related footnotes included in the Company’s Annual Report on Form 10-K for the fiscal year ended December 31, 2024, filed with the SEC on March 3, 2025 (the “Annual Report on Form 10-K”).</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for the three months ended March 31, 2025 are not necessarily indicative of the operating results expected for the year ending December 31, 2025 or any other future period. The Company will continue to assess these potential impacts to its business and will make adjustments to its operations as necessary.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2.Significant Accounting Policies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significant accounting policies as compared to the significant accounting policies described in Note 2 of the Company’s Annual Report on Form 10-K.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control of the promised goods or services is transferred to clients in an amount that reflects the consideration the Company expects to be entitled to in exchange for those goods or services.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applies the following five-step model to recognize revenue from contracts with clients: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Identification of the contract, or contracts, with a client;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Identification of the performance obligations in the contract;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Determination of the transaction price;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Allocation of the transaction price to the performance obligations in the contract;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Recognition of revenue when, or as, a performance obligation is satisfied.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Progyny’s contracts typically have a stated term of three years and include contractual termination options after the first year, allowing the client to terminate the contract with 30 to 90 days’ notice.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Fertility Benefits Solution Revenue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Progyny’s contracts include the following sources of consideration, which are all variable: a per employee per month (“PEPM”) administration fee (in most, but not all contracts), and a fixed rate per Smart Cycle. The PEPM administration fee is estimated using the expected value method and is allocated between the fertility benefits solution and the pharmacy benefits solution based on standalone selling price, estimated using an expected cost-plus margin method. The fixed rate per Smart Cycle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fertility benefits services provided. As a result, the fixed rate per Smart Cycle is included in the transaction price for the fertility benefits solution.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using the expected value method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recognizes the amounts allocated to the fertility benefits solution ratably over the contract term. Progyny’s estimates of service level agreement refunds have not historically resulted in significant adjustments to the transaction price. There is no constraint on variable consideration within Progyny’s fertility benefits contracts.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for its fertility benefit solution in the period in which the Smart Cycle services are provided to the member. The services provided in a reporting period are based on actual claims received from the provider clinic and an estimate of services provided but for which a claim has not been received at the end of the reporting period, which we refer to as accrued receivables, and is discussed in further detail below.</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Pharmacy Benefits Solution 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fixed fee per fertility drug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 There is no constraint on variable consideration within Progyny’s pharmacy benefits contracts.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March 31, 2025 and December 31, 2024.</w:t>
      </w:r>
    </w:p>
    <w:p>
      <w:pPr>
        <w:pStyle w:val="TextBody"/>
        <w:bidi w:val="0"/>
        <w:spacing w:lineRule="auto" w:line="288" w:before="240" w:after="283"/>
        <w:jc w:val="left"/>
        <w:rPr/>
      </w:pPr>
      <w:r>
        <w:rPr>
          <w:rFonts w:ascii="Times New Roman;sans-serif" w:hAnsi="Times New Roman;sans-serif"/>
          <w:b/>
          <w:i/>
          <w:color w:val="000000"/>
          <w:sz w:val="20"/>
        </w:rPr>
        <w:t>A</w:t>
      </w:r>
      <w:r>
        <w:rPr>
          <w:rFonts w:ascii="Times New Roman;sans-serif" w:hAnsi="Times New Roman;sans-serif"/>
          <w:b/>
          <w:i/>
          <w:color w:val="000000"/>
          <w:sz w:val="20"/>
          <w:shd w:fill="FFFFFF" w:val="clear"/>
        </w:rPr>
        <w:t>ccrued Receivables and Accrued Claims Payable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accrued receivables were $75.6 million and $45.6 million, respectively. Accrued receivables are included within accounts receivable in the consolidated balance sheet.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claims payable of $45.6 million and $32.1 million as of March 31, 2025 and December 31, 2024, respectively, are included within accrued expenses and other current liabilities in the consolidated balance sheet. Claims payable are generally paid within 30 days based on contractual terms.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unbilled receivables, which represent claims received and approved but unbilled at the end of the reporting period, were $58.4 million and $47.0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Receivable and Allowance for Doubtful Accounts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of losses, current economic conditions, and reasonable and supportable forecasts of future economic conditions in order to develop loss rates for each of its receivable pools. An allowance for credit losses is applied at the time the asset is recognized, including to current or not yet due amounts, based on the Company’s estimated loss rates which consider the migration of receivables from current to aged and collection rates associated with receivables that are delinquent. Expected credit losses are recorded as general and administrative expenses on the consolidated statements of operations</w:t>
      </w:r>
      <w:r>
        <w:rPr>
          <w:rFonts w:ascii="Times New Roman;sans-serif" w:hAnsi="Times New Roman;sans-serif"/>
          <w:b w:val="false"/>
          <w:color w:val="000000"/>
          <w:sz w:val="20"/>
          <w:shd w:fill="FFFFFF" w:val="clear"/>
        </w:rPr>
        <w:t xml:space="preserve">. The Company records write-offs, as a deduction from the allowance for doubtful accounts, in the period in which its receivables are deemed uncollectible, which is when all efforts of collection have been exhausted or it is no longer pursuing collection of the receivable, and can take up to several years from the initial billing based on the nature of the Company’s receivables, which consist of a high volume of low dollar balances, particularly on the member receivable pool. </w:t>
      </w:r>
      <w:r>
        <w:rPr>
          <w:rFonts w:ascii="Times New Roman;sans-serif" w:hAnsi="Times New Roman;sans-serif"/>
          <w:b w:val="false"/>
          <w:color w:val="000000"/>
          <w:sz w:val="20"/>
        </w:rPr>
        <w:t>The following table provides a summary of the activity in this allowance (in thousands):</w:t>
      </w:r>
    </w:p>
    <w:tbl>
      <w:tblPr>
        <w:tblW w:w="8523" w:type="dxa"/>
        <w:jc w:val="left"/>
        <w:tblInd w:w="0" w:type="dxa"/>
        <w:tblLayout w:type="fixed"/>
        <w:tblCellMar>
          <w:top w:w="28" w:type="dxa"/>
          <w:left w:w="28" w:type="dxa"/>
          <w:bottom w:w="28" w:type="dxa"/>
          <w:right w:w="28" w:type="dxa"/>
        </w:tblCellMar>
      </w:tblPr>
      <w:tblGrid>
        <w:gridCol w:w="1019"/>
        <w:gridCol w:w="896"/>
        <w:gridCol w:w="904"/>
        <w:gridCol w:w="109"/>
        <w:gridCol w:w="109"/>
        <w:gridCol w:w="109"/>
        <w:gridCol w:w="428"/>
        <w:gridCol w:w="336"/>
        <w:gridCol w:w="340"/>
        <w:gridCol w:w="109"/>
        <w:gridCol w:w="109"/>
        <w:gridCol w:w="109"/>
        <w:gridCol w:w="523"/>
        <w:gridCol w:w="284"/>
        <w:gridCol w:w="287"/>
        <w:gridCol w:w="109"/>
        <w:gridCol w:w="109"/>
        <w:gridCol w:w="109"/>
        <w:gridCol w:w="421"/>
        <w:gridCol w:w="343"/>
        <w:gridCol w:w="347"/>
        <w:gridCol w:w="109"/>
        <w:gridCol w:w="109"/>
        <w:gridCol w:w="109"/>
        <w:gridCol w:w="366"/>
        <w:gridCol w:w="296"/>
        <w:gridCol w:w="425"/>
      </w:tblGrid>
      <w:tr>
        <w:trPr/>
        <w:tc>
          <w:tcPr>
            <w:tcW w:w="101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Beginning</w:t>
            </w:r>
          </w:p>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Charged</w:t>
            </w:r>
          </w:p>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to Costs</w:t>
            </w:r>
          </w:p>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Balance</w:t>
            </w:r>
          </w:p>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at End</w:t>
            </w:r>
          </w:p>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of Period</w:t>
            </w:r>
          </w:p>
        </w:tc>
      </w:tr>
      <w:tr>
        <w:trPr/>
        <w:tc>
          <w:tcPr>
            <w:tcW w:w="28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Fertility Benefits Services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Pharmacy Benefits Services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Vendor Rebates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Vendor rebates are included within accounts receivable in the consolidated balance sheet. The effect of adjustments resulting from the reconciliation of rebates recognized to the amounts billed and collected has not been material to the Company’s results of operations.</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The standard is intended to provide a better understanding of an entity's overall performance and business activities through improved disclosure about an entity's reportable segments, including more detailed information about reportable segment expenses. The Company adopted this standard in the annual period beginning January 1, 2024 and applied the disclosure requirements retrospectively to all prior periods presented in the financial statements. The adoption of this standard did not have a material impact on the Company's consolidated financial statements.</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Accounting Pronouncements Issued but Not Yet Adopted</w:t>
      </w:r>
    </w:p>
    <w:p>
      <w:pPr>
        <w:pStyle w:val="TextBody"/>
        <w:bidi w:val="0"/>
        <w:spacing w:lineRule="auto" w:line="288" w:before="240" w:after="240"/>
        <w:ind w:left="0" w:right="0" w:firstLine="72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The standard is intended to enhance the transparency and decision usefulness of income tax disclosures primarily through changes to the rate reconciliation and income taxes paid information. The new standard will be effective for the Company for the fiscal year beginning January 1, 2025. While the new standard does require further disaggregation of the income tax footnote, the Company currently does not expect the adoption of the new standard to have a material effect on its consolidated financial statements.</w:t>
      </w:r>
    </w:p>
    <w:p>
      <w:pPr>
        <w:pStyle w:val="TextBody"/>
        <w:bidi w:val="0"/>
        <w:spacing w:lineRule="auto" w:line="288" w:before="240" w:after="240"/>
        <w:ind w:left="0" w:right="0" w:firstLine="72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 - Reporting Comprehensive Income - Expense Disaggregation Disclosures (Subtopic 220-40): Disaggregation of Income Statement Expenses</w:t>
      </w:r>
      <w:r>
        <w:rPr>
          <w:rFonts w:ascii="Times New Roman;sans-serif" w:hAnsi="Times New Roman;sans-serif"/>
          <w:b w:val="false"/>
          <w:color w:val="000000"/>
          <w:sz w:val="20"/>
        </w:rPr>
        <w:t xml:space="preserve">. The standard is intended to provide enhanced transparency into the nature of expenses and requires more detailed information on specific expense categories (purchases of inventory, employee compensation, depreciation, and intangible asset amortization)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3.Revenue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disaggregates revenue by service (in thousands): </w:t>
      </w:r>
    </w:p>
    <w:tbl>
      <w:tblPr>
        <w:tblW w:w="5649" w:type="dxa"/>
        <w:jc w:val="center"/>
        <w:tblInd w:w="0" w:type="dxa"/>
        <w:tblLayout w:type="fixed"/>
        <w:tblCellMar>
          <w:top w:w="28" w:type="dxa"/>
          <w:left w:w="28" w:type="dxa"/>
          <w:bottom w:w="28" w:type="dxa"/>
          <w:right w:w="28" w:type="dxa"/>
        </w:tblCellMar>
      </w:tblPr>
      <w:tblGrid>
        <w:gridCol w:w="1082"/>
        <w:gridCol w:w="948"/>
        <w:gridCol w:w="955"/>
        <w:gridCol w:w="211"/>
        <w:gridCol w:w="826"/>
        <w:gridCol w:w="109"/>
        <w:gridCol w:w="109"/>
        <w:gridCol w:w="109"/>
        <w:gridCol w:w="109"/>
        <w:gridCol w:w="211"/>
        <w:gridCol w:w="82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Fertility benefits services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Pharmacy benefits services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324,038 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278,078 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4.Fair Value of Financial Instruments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prices in active markets that are accessible at the measurement date for identical assets or liabilities.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prices in active markets, that are observable either directly or indirectly.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Level 3 — Prices or valuation techniques that require inputs that are both significant to the fair value of the asset or liability and supported by little or no market activity.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observable market data when available, and minimizes the use of unobservable inputs when determining fair value.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As of March 31, 2025 and December 31, 2024, the Company had $111.9 million and $167.7 million, respectively, in financial assets held in money market accounts and $146.9 million and $65.6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 For the three months ended March 31, 2025 and March 31, 2024, interest income on cash, cash equivalents, restricted cash, and marketable securities, including the accretion of discounts on investments, was $2.3 million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$0.6 million,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did not maintain any assets or liabilities classified as Level 2 or Level 3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Company's lease agreement for the additional 24,099 square foot office in its corporate offices (entered into in February 2022) commenced in New York, NY and expires in April 2036. Pursuant to the lease,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is obligated to pay the base rent of approximately $1.4 million per annum through the end of the fifth lease year and approximately $1.5 million per annum thereafter through the expiration date.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In March 2025, the Company's lease agreement for the additional 21,262 square foot office in its corporate offices (entered into in February 2022) commenced in New York, NY and expires in April 2036. In accordance with ASC 842, the Company recorded a right-of-use asset and a lease liability of $10.1 million and $10.0 million, respectively. Pursuant to the lease, the Company is obligated to pay the base rent of approximately $1.3 million</w:t>
      </w:r>
      <w:r>
        <w:rPr>
          <w:color w:val="000000"/>
        </w:rPr>
        <w:t xml:space="preserve"> </w:t>
      </w:r>
      <w:r>
        <w:rPr>
          <w:rFonts w:ascii="Times New Roman;sans-serif" w:hAnsi="Times New Roman;sans-serif"/>
          <w:b w:val="false"/>
          <w:color w:val="000000"/>
          <w:sz w:val="20"/>
        </w:rPr>
        <w:t>per annum through the end of the fifth lease year and approximately $1.4 million</w:t>
      </w:r>
      <w:r>
        <w:rPr>
          <w:color w:val="000000"/>
        </w:rPr>
        <w:t xml:space="preserve"> </w:t>
      </w:r>
      <w:r>
        <w:rPr>
          <w:rFonts w:ascii="Times New Roman;sans-serif" w:hAnsi="Times New Roman;sans-serif"/>
          <w:b w:val="false"/>
          <w:color w:val="000000"/>
          <w:sz w:val="20"/>
        </w:rPr>
        <w:t>per annum thereafter through the expiration date.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lease expense on a straight-line basis over the lease term. Lease expense for the three months ended March 31, 2025 and 2024 was $0.8 million and $0.6 million,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outflows from operating activities attributable to the operating leases for the three months ended March 31, 2025 and 2024 was $0.8 million and $0.3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related to the Company's leases is as follows (in thousands):</w:t>
      </w:r>
    </w:p>
    <w:tbl>
      <w:tblPr>
        <w:tblW w:w="9552" w:type="dxa"/>
        <w:jc w:val="left"/>
        <w:tblInd w:w="0" w:type="dxa"/>
        <w:tblLayout w:type="fixed"/>
        <w:tblCellMar>
          <w:top w:w="28" w:type="dxa"/>
          <w:left w:w="28" w:type="dxa"/>
          <w:bottom w:w="28" w:type="dxa"/>
          <w:right w:w="28" w:type="dxa"/>
        </w:tblCellMar>
      </w:tblPr>
      <w:tblGrid>
        <w:gridCol w:w="813"/>
        <w:gridCol w:w="716"/>
        <w:gridCol w:w="720"/>
        <w:gridCol w:w="1269"/>
        <w:gridCol w:w="1269"/>
        <w:gridCol w:w="1272"/>
        <w:gridCol w:w="109"/>
        <w:gridCol w:w="109"/>
        <w:gridCol w:w="109"/>
        <w:gridCol w:w="619"/>
        <w:gridCol w:w="335"/>
        <w:gridCol w:w="341"/>
        <w:gridCol w:w="109"/>
        <w:gridCol w:w="109"/>
        <w:gridCol w:w="109"/>
        <w:gridCol w:w="686"/>
        <w:gridCol w:w="354"/>
        <w:gridCol w:w="50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8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w:t>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8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16,413</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Other Information</w:t>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years</w:t>
            </w:r>
          </w:p>
        </w:tc>
      </w:tr>
      <w:tr>
        <w:trPr/>
        <w:tc>
          <w:tcPr>
            <w:tcW w:w="6059"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facility lease payments related to the Company's operating lease liabilities as of March 31, 2025 were as follows (in thousands):</w:t>
      </w:r>
    </w:p>
    <w:tbl>
      <w:tblPr>
        <w:tblW w:w="8171" w:type="dxa"/>
        <w:jc w:val="left"/>
        <w:tblInd w:w="0" w:type="dxa"/>
        <w:tblLayout w:type="fixed"/>
        <w:tblCellMar>
          <w:top w:w="28" w:type="dxa"/>
          <w:left w:w="28" w:type="dxa"/>
          <w:bottom w:w="28" w:type="dxa"/>
          <w:right w:w="28" w:type="dxa"/>
        </w:tblCellMar>
      </w:tblPr>
      <w:tblGrid>
        <w:gridCol w:w="1502"/>
        <w:gridCol w:w="1323"/>
        <w:gridCol w:w="1330"/>
        <w:gridCol w:w="109"/>
        <w:gridCol w:w="109"/>
        <w:gridCol w:w="109"/>
        <w:gridCol w:w="1642"/>
        <w:gridCol w:w="847"/>
        <w:gridCol w:w="1200"/>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 Payments as of March 31,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36,748</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28,896</w:t>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current portion of operating lease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25,998</w:t>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February 2022 Lease Agreement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the Company commenced its leases for the additional 24,099 square foot and 21,262 square foot offices in its corporate offices in New York, NY in February 2023 and March 2025, respectively, pursuant to a lease agreement entered into by the Company in February 2022. The lease agreement also provides for continued occupancy of the 25,212 square foot office after the expiration of the current sublease. For the current 25,212 square foot office, the Company is obligated to pay the base rent of approximately $1.6 million per year beginning in June 2029, which is the lease commencement, through April 2036, the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6.Commitments and Contingencies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16"/>
        </w:rPr>
        <w:t>7.</w:t>
      </w:r>
      <w:r>
        <w:rPr>
          <w:rFonts w:ascii="Times New Roman;sans-serif" w:hAnsi="Times New Roman;sans-serif"/>
          <w:b/>
          <w:color w:val="000000"/>
          <w:sz w:val="20"/>
        </w:rPr>
        <w:t>Stockholders’ Equity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the Company’s Board of Directors authorized a share repurchase program of up to $100 million in shares of common stock (the “February Share Repurchase Program”). In May 2024, the Company's Board of Directors authorized an additional share repurchase program of up to $100 million in shares of common stock (the “May Share Repurchase Program”). In August 2024, the Company's Board of Directors authorized an additional share repurchase program of up to $100 million in shares of common stock (the “August Share Repurchase Program,” and together with the February Share Repurchase Program and the May Share Repurchase Program, the ("2024 Share Repurchase Programs"). For the three months ended March 31, 2024, the Company repurchased a total of 723,577 shares of common stock under the 2024 Share Repurchase Programs for a total cost of $26.4 million, inclusive of excise taxes and trading fees, for an average price per share of $36.27. For the year ended December 31, 2024, the Company repurchased a total of 12,382,193 shares of common stock under the 2024 Share Repurchase Programs.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year ended December 31, 2024, the 2024 Share Repurchase Programs were completed, and no amounts remained available for repurchase under the programs.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stock-based compensation expense, which was included in the statements of operations as follows (in thousands): </w:t>
      </w:r>
    </w:p>
    <w:tbl>
      <w:tblPr>
        <w:tblW w:w="5904"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6"/>
        <w:gridCol w:w="1324"/>
        <w:gridCol w:w="1332"/>
        <w:gridCol w:w="649"/>
        <w:gridCol w:w="1156"/>
        <w:gridCol w:w="338"/>
        <w:gridCol w:w="109"/>
        <w:gridCol w:w="109"/>
        <w:gridCol w:w="109"/>
        <w:gridCol w:w="583"/>
        <w:gridCol w:w="1287"/>
        <w:gridCol w:w="302"/>
        <w:gridCol w:w="109"/>
        <w:gridCol w:w="109"/>
        <w:gridCol w:w="109"/>
        <w:gridCol w:w="211"/>
        <w:gridCol w:w="466"/>
        <w:gridCol w:w="157"/>
      </w:tblGrid>
      <w:tr>
        <w:trPr/>
        <w:tc>
          <w:tcPr>
            <w:tcW w:w="17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(loss) income before reclassifications, net of tax</w:t>
            </w:r>
            <w:r>
              <w:rPr>
                <w:rFonts w:ascii="Times New Roman;sans-serif" w:hAnsi="Times New Roman;sans-serif"/>
                <w:b w:val="false"/>
                <w:color w:val="000000"/>
                <w:sz w:val="13"/>
              </w:rPr>
              <w:t>(1)</w:t>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income, net of tax</w:t>
            </w:r>
            <w:r>
              <w:rPr>
                <w:rFonts w:ascii="Times New Roman;sans-serif" w:hAnsi="Times New Roman;sans-serif"/>
                <w:b w:val="false"/>
                <w:color w:val="000000"/>
                <w:sz w:val="13"/>
              </w:rPr>
              <w:t>(2)</w:t>
            </w:r>
          </w:p>
        </w:tc>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(loss) income</w:t>
            </w:r>
          </w:p>
        </w:tc>
        <w:tc>
          <w:tcPr>
            <w:tcW w:w="214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6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21"/>
        <w:gridCol w:w="1294"/>
        <w:gridCol w:w="1302"/>
        <w:gridCol w:w="476"/>
        <w:gridCol w:w="1390"/>
        <w:gridCol w:w="245"/>
        <w:gridCol w:w="109"/>
        <w:gridCol w:w="109"/>
        <w:gridCol w:w="109"/>
        <w:gridCol w:w="646"/>
        <w:gridCol w:w="1155"/>
        <w:gridCol w:w="337"/>
        <w:gridCol w:w="109"/>
        <w:gridCol w:w="109"/>
        <w:gridCol w:w="109"/>
        <w:gridCol w:w="211"/>
        <w:gridCol w:w="616"/>
        <w:gridCol w:w="158"/>
      </w:tblGrid>
      <w:tr>
        <w:trPr/>
        <w:tc>
          <w:tcPr>
            <w:tcW w:w="172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4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income before reclassifications, net of tax</w:t>
            </w:r>
            <w:r>
              <w:rPr>
                <w:rFonts w:ascii="Times New Roman;sans-serif" w:hAnsi="Times New Roman;sans-serif"/>
                <w:b w:val="false"/>
                <w:color w:val="000000"/>
                <w:sz w:val="13"/>
              </w:rPr>
              <w:t>(1)</w:t>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income, net of tax</w:t>
            </w:r>
            <w:r>
              <w:rPr>
                <w:rFonts w:ascii="Times New Roman;sans-serif" w:hAnsi="Times New Roman;sans-serif"/>
                <w:b w:val="false"/>
                <w:color w:val="000000"/>
                <w:sz w:val="13"/>
              </w:rPr>
              <w:t>(2)</w:t>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r>
      <w:tr>
        <w:trPr/>
        <w:tc>
          <w:tcPr>
            <w:tcW w:w="4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(loss) income</w:t>
            </w:r>
          </w:p>
        </w:tc>
        <w:tc>
          <w:tcPr>
            <w:tcW w:w="21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4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4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2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unrealized losses of $0.1 million, net of tax benefit of $0, for the three months ended March 31, 2025 and unrealized gains of $3.3 million, net of tax expense of $0.9 million, for the three months ended March 31, 2024.</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effects on net income of amounts reclassified from accumulated other comprehensive income were as follows (in thousands):</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625"/>
        <w:gridCol w:w="1429"/>
        <w:gridCol w:w="1432"/>
        <w:gridCol w:w="109"/>
        <w:gridCol w:w="109"/>
        <w:gridCol w:w="109"/>
        <w:gridCol w:w="211"/>
        <w:gridCol w:w="406"/>
        <w:gridCol w:w="109"/>
        <w:gridCol w:w="109"/>
        <w:gridCol w:w="109"/>
        <w:gridCol w:w="109"/>
        <w:gridCol w:w="211"/>
        <w:gridCol w:w="616"/>
        <w:gridCol w:w="109"/>
        <w:gridCol w:w="109"/>
        <w:gridCol w:w="109"/>
        <w:gridCol w:w="109"/>
        <w:gridCol w:w="898"/>
        <w:gridCol w:w="898"/>
        <w:gridCol w:w="1280"/>
      </w:tblGrid>
      <w:tr>
        <w:trPr/>
        <w:tc>
          <w:tcPr>
            <w:tcW w:w="162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44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Details about Accumulated Other Comprehensive Income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Statement of Operations</w:t>
            </w:r>
          </w:p>
        </w:tc>
      </w:tr>
      <w:tr>
        <w:trPr/>
        <w:tc>
          <w:tcPr>
            <w:tcW w:w="44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8.Income Taxes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For the three months ended March 31, 2025 and 2024,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three months ended March 31, 2025, the Company recorded a provision for income taxes of $11.5 million, primarily driven by the Company's operating profit and equity compensation activity that occurred during the period. During the three months ended March 31, 2024</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the Company recorded a provision for income taxes of $5.6 million, primarily driven by the Company's operating profit, partially offset by equity compensation activity that occurred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9.</w:t>
      </w:r>
      <w:r>
        <w:rPr>
          <w:color w:val="000000"/>
        </w:rPr>
        <w:t xml:space="preserve"> </w:t>
      </w:r>
      <w:r>
        <w:rPr>
          <w:rFonts w:ascii="Times New Roman;sans-serif" w:hAnsi="Times New Roman;sans-serif"/>
          <w:b/>
          <w:color w:val="000000"/>
          <w:sz w:val="20"/>
        </w:rPr>
        <w:t>Acquisitions</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8, 2025, the Company completed its acquisition of Benefit Bump LLC, a comprehensive parental leave benefits navigation program for new and growing families. The acquisition enhances the Company's existing offerings, extending its ability to further serve the needs of families on their journey from pregnancy to early childhood and beyond. The transaction was for a purchase price of $10.5 million, including $2.5 million held in escrow for standard indemnifications and the satisfaction of certain conditions. The transaction was accounted for using the acquisition method resulting in tangible and intangible assets acquired and liabilities assumed, recorded at their estimated fair values as of the acquisition date. Any excess consideration over the fair value of the assets and liabilities assumed was recognized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is subject to revision as the purchase price allocation is completed during the measurement period (up to one year from acquisition date). This acquisition did not have a material impact on the Company’s consolidated financial statements.</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2024, the Company completed its acquisition of Apryl GmbH, a Berlin-based fertility benefits platform, to expand its global offering. The transaction was for a purchase price of €5.1 million, or $5.5 million based on the exchange rate on the acquisition closing date, and was accounted for using the acquisition method. As a result, tangible and intangible assets acquired and liabilities assumed were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10.Net Income Per Share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calculated by dividing the net income by the weighted-average number of shares of common stock outstanding for the period.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net income and the number of shares in the calculation of basic and diluted net income per share is as follows (in thousands, except share and per share amounts):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tbl>
      <w:tblPr>
        <w:tblW w:w="8729" w:type="dxa"/>
        <w:jc w:val="left"/>
        <w:tblInd w:w="0" w:type="dxa"/>
        <w:tblLayout w:type="fixed"/>
        <w:tblCellMar>
          <w:top w:w="28" w:type="dxa"/>
          <w:left w:w="28" w:type="dxa"/>
          <w:bottom w:w="28" w:type="dxa"/>
          <w:right w:w="28" w:type="dxa"/>
        </w:tblCellMar>
      </w:tblPr>
      <w:tblGrid>
        <w:gridCol w:w="2189"/>
        <w:gridCol w:w="1922"/>
        <w:gridCol w:w="1934"/>
        <w:gridCol w:w="290"/>
        <w:gridCol w:w="378"/>
        <w:gridCol w:w="380"/>
        <w:gridCol w:w="150"/>
        <w:gridCol w:w="150"/>
        <w:gridCol w:w="150"/>
        <w:gridCol w:w="306"/>
        <w:gridCol w:w="364"/>
        <w:gridCol w:w="516"/>
      </w:tblGrid>
      <w:tr>
        <w:trPr/>
        <w:tc>
          <w:tcPr>
            <w:tcW w:w="218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Basic net income per common share:</w:t>
            </w:r>
          </w:p>
        </w:tc>
        <w:tc>
          <w:tcPr>
            <w:tcW w:w="10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ans-serif" w:hAnsi="Times New Roman;sans-serif"/>
                <w:b w:val="false"/>
                <w:color w:val="000000"/>
                <w:sz w:val="20"/>
              </w:rPr>
            </w:pPr>
            <w:r>
              <w:rPr>
                <w:rFonts w:ascii="Times New Roman;sans-serif" w:hAnsi="Times New Roman;sans-serif"/>
                <w:b w:val="false"/>
                <w:color w:val="000000"/>
                <w:sz w:val="20"/>
              </w:rPr>
              <w:t>16,898</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basic net income per share</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85,499,153</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96,484,657</w:t>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29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Diluted net income per common share:</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basic net income per share</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85,499,153</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96,484,657</w:t>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dilutive securities </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Options to purchase common stock</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ans-serif" w:hAnsi="Times New Roman;sans-serif"/>
                <w:b w:val="false"/>
                <w:color w:val="000000"/>
                <w:sz w:val="20"/>
              </w:rPr>
            </w:pPr>
            <w:r>
              <w:rPr>
                <w:rFonts w:ascii="Times New Roman;sans-serif" w:hAnsi="Times New Roman;sans-serif"/>
                <w:b w:val="false"/>
                <w:color w:val="000000"/>
                <w:sz w:val="20"/>
              </w:rPr>
              <w:t>3,176,495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3,922,757</w:t>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Shares issuable under ESPP</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9"/>
              <w:jc w:val="right"/>
              <w:rPr>
                <w:color w:val="000000"/>
              </w:rPr>
            </w:pPr>
            <w:r>
              <w:rPr>
                <w:color w:val="00000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Warrants to purchase common stock</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
              <w:jc w:val="right"/>
              <w:rPr>
                <w:color w:val="000000"/>
              </w:rPr>
            </w:pPr>
            <w:r>
              <w:rPr>
                <w:color w:val="00000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291,643</w:t>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 xml:space="preserve">Restricted stock units </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9"/>
              <w:jc w:val="right"/>
              <w:rPr>
                <w:rFonts w:ascii="Times New Roman;sans-serif" w:hAnsi="Times New Roman;sans-serif"/>
                <w:b w:val="false"/>
                <w:color w:val="000000"/>
                <w:sz w:val="20"/>
              </w:rPr>
            </w:pPr>
            <w:r>
              <w:rPr>
                <w:rFonts w:ascii="Times New Roman;sans-serif" w:hAnsi="Times New Roman;sans-serif"/>
                <w:b w:val="false"/>
                <w:color w:val="000000"/>
                <w:sz w:val="20"/>
              </w:rPr>
              <w:t>632,286</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353,067</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effect of dilutive securities</w:t>
            </w:r>
          </w:p>
        </w:tc>
        <w:tc>
          <w:tcPr>
            <w:tcW w:w="10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9"/>
              <w:jc w:val="right"/>
              <w:rPr>
                <w:rFonts w:ascii="Times New Roman;sans-serif" w:hAnsi="Times New Roman;sans-serif"/>
                <w:b w:val="false"/>
                <w:color w:val="000000"/>
                <w:sz w:val="20"/>
              </w:rPr>
            </w:pPr>
            <w:r>
              <w:rPr>
                <w:rFonts w:ascii="Times New Roman;sans-serif" w:hAnsi="Times New Roman;sans-serif"/>
                <w:b w:val="false"/>
                <w:color w:val="000000"/>
                <w:sz w:val="20"/>
              </w:rPr>
              <w:t>3,808,781</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4,568,276</w:t>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diluted net income per share</w:t>
            </w:r>
          </w:p>
        </w:tc>
        <w:tc>
          <w:tcPr>
            <w:tcW w:w="104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89,307,934</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101,052,933</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2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weighted-average outstanding shares of potentially dilutive securities were excluded from the computation of diluted income per share for the period presented because including them would have been antidilutive: </w:t>
      </w:r>
    </w:p>
    <w:tbl>
      <w:tblPr>
        <w:tblW w:w="5611" w:type="dxa"/>
        <w:jc w:val="left"/>
        <w:tblInd w:w="0" w:type="dxa"/>
        <w:tblLayout w:type="fixed"/>
        <w:tblCellMar>
          <w:top w:w="28" w:type="dxa"/>
          <w:left w:w="28" w:type="dxa"/>
          <w:bottom w:w="28" w:type="dxa"/>
          <w:right w:w="28" w:type="dxa"/>
        </w:tblCellMar>
      </w:tblPr>
      <w:tblGrid>
        <w:gridCol w:w="1073"/>
        <w:gridCol w:w="946"/>
        <w:gridCol w:w="950"/>
        <w:gridCol w:w="389"/>
        <w:gridCol w:w="389"/>
        <w:gridCol w:w="258"/>
        <w:gridCol w:w="175"/>
        <w:gridCol w:w="175"/>
        <w:gridCol w:w="175"/>
        <w:gridCol w:w="370"/>
        <w:gridCol w:w="370"/>
        <w:gridCol w:w="341"/>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2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14,856,451</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12,631,505</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under ESPP</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rFonts w:ascii="Times New Roman;sans-serif" w:hAnsi="Times New Roman;sans-serif"/>
                <w:b w:val="false"/>
                <w:color w:val="000000"/>
                <w:sz w:val="20"/>
              </w:rPr>
            </w:pPr>
            <w:r>
              <w:rPr>
                <w:rFonts w:ascii="Times New Roman;sans-serif" w:hAnsi="Times New Roman;sans-serif"/>
                <w:b w:val="false"/>
                <w:color w:val="000000"/>
                <w:sz w:val="20"/>
              </w:rPr>
              <w:t>2,221,536</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814,281</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17,080,755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13,445,786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Times New Roman;sans-serif" w:hAnsi="Times New Roman;sans-serif"/>
          <w:b/>
          <w:color w:val="000000"/>
          <w:sz w:val="20"/>
        </w:rPr>
        <w:t>11</w:t>
      </w:r>
      <w:r>
        <w:rPr>
          <w:rFonts w:ascii="Times New Roman;sans-serif" w:hAnsi="Times New Roman;sans-serif"/>
          <w:b w:val="false"/>
          <w:color w:val="000000"/>
          <w:sz w:val="20"/>
        </w:rPr>
        <w:t>.     </w:t>
      </w:r>
      <w:r>
        <w:rPr>
          <w:rFonts w:ascii="Times New Roman;sans-serif" w:hAnsi="Times New Roman;sans-serif"/>
          <w:b/>
          <w:color w:val="000000"/>
          <w:sz w:val="20"/>
        </w:rPr>
        <w:t>Segments</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Progyny is a benefits management company specializing in fertility, family building and women's health benefits solutions. Substantially, all of the Company's revenues and assets are attributable to the United States.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chief operating decision maker (“CODM”) is the Chief Executive Officer. The Company determined it has one operating segment and one reportable segment, as the CODM manages the business and evaluates performance at the consolidated level.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CODM uses net income to allocate resources (including personnel, technology, and capital resources) for the single segment to make decisions regarding the annual budget, ongoing operations, and strategic investments to drive the Company's strategy and 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tbl>
      <w:tblPr>
        <w:tblW w:w="5130" w:type="dxa"/>
        <w:jc w:val="left"/>
        <w:tblInd w:w="0" w:type="dxa"/>
        <w:tblLayout w:type="fixed"/>
        <w:tblCellMar>
          <w:top w:w="28" w:type="dxa"/>
          <w:left w:w="28" w:type="dxa"/>
          <w:bottom w:w="28" w:type="dxa"/>
          <w:right w:w="28" w:type="dxa"/>
        </w:tblCellMar>
      </w:tblPr>
      <w:tblGrid>
        <w:gridCol w:w="913"/>
        <w:gridCol w:w="803"/>
        <w:gridCol w:w="804"/>
        <w:gridCol w:w="283"/>
        <w:gridCol w:w="390"/>
        <w:gridCol w:w="390"/>
        <w:gridCol w:w="146"/>
        <w:gridCol w:w="146"/>
        <w:gridCol w:w="146"/>
        <w:gridCol w:w="283"/>
        <w:gridCol w:w="342"/>
        <w:gridCol w:w="48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Revenue</w:t>
            </w:r>
            <w:r>
              <w:rPr>
                <w:rFonts w:ascii="Times New Roman;sans-serif" w:hAnsi="Times New Roman;sans-serif"/>
                <w:b w:val="false"/>
                <w:color w:val="000000"/>
                <w:sz w:val="13"/>
              </w:rPr>
              <w:t>(1)</w:t>
            </w:r>
          </w:p>
        </w:tc>
        <w:tc>
          <w:tcPr>
            <w:tcW w:w="28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9"/>
              <w:jc w:val="right"/>
              <w:rPr>
                <w:rFonts w:ascii="Times New Roman;sans-serif" w:hAnsi="Times New Roman;sans-serif"/>
                <w:b w:val="false"/>
                <w:color w:val="000000"/>
                <w:sz w:val="20"/>
              </w:rPr>
            </w:pPr>
            <w:r>
              <w:rPr>
                <w:rFonts w:ascii="Times New Roman;sans-serif" w:hAnsi="Times New Roman;sans-serif"/>
                <w:b w:val="false"/>
                <w:color w:val="000000"/>
                <w:sz w:val="20"/>
              </w:rPr>
              <w:t>324,038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278,078</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215,672</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28,429</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8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Refer to footnote 3, for disaggregated revenue by service. </w:t>
      </w:r>
    </w:p>
    <w:tbl>
      <w:tblPr>
        <w:tblW w:w="4285" w:type="dxa"/>
        <w:jc w:val="left"/>
        <w:tblInd w:w="0" w:type="dxa"/>
        <w:tblLayout w:type="fixed"/>
        <w:tblCellMar>
          <w:top w:w="28" w:type="dxa"/>
          <w:left w:w="28" w:type="dxa"/>
          <w:bottom w:w="28" w:type="dxa"/>
          <w:right w:w="28" w:type="dxa"/>
        </w:tblCellMar>
      </w:tblPr>
      <w:tblGrid>
        <w:gridCol w:w="417"/>
        <w:gridCol w:w="368"/>
        <w:gridCol w:w="370"/>
        <w:gridCol w:w="232"/>
        <w:gridCol w:w="908"/>
        <w:gridCol w:w="119"/>
        <w:gridCol w:w="109"/>
        <w:gridCol w:w="109"/>
        <w:gridCol w:w="109"/>
        <w:gridCol w:w="273"/>
        <w:gridCol w:w="1072"/>
        <w:gridCol w:w="19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730,285 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607,102 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2024, filed with the SEC on March 3, 2025.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envision a world where everyone can realize their dreams of family and ideal health. Our mission is to empower healthier, supported journeys through transformative fertility, family building and women's health benefits. Through our differentiated approach to benefits plan design, member education and support and active network management, our clients’ employees are able to pursue the most effective treatment across life's milestones from the best providers and achieve optimal outcomes.</w:t>
      </w:r>
    </w:p>
    <w:p>
      <w:pPr>
        <w:pStyle w:val="TextBody"/>
        <w:bidi w:val="0"/>
        <w:spacing w:lineRule="auto" w:line="288" w:before="240" w:after="240"/>
        <w:ind w:left="0" w:right="0" w:firstLine="720"/>
        <w:jc w:val="both"/>
        <w:rPr/>
      </w:pPr>
      <w:r>
        <w:rPr>
          <w:rFonts w:ascii="Times New Roman;sans-serif" w:hAnsi="Times New Roman;sans-serif"/>
          <w:b w:val="false"/>
          <w:color w:val="000000"/>
          <w:sz w:val="20"/>
        </w:rPr>
        <w:t>Progyny is a leading benefits management company specializing in fertility, family building and women's health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530 with at least 1,000 covered lives. We currently have contracts to provide coverage to approximately 6.7 million employees and their covered dependents (known in our industry as covered lives, and to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+79 for our fertility benefits solution and +84</w:t>
      </w:r>
      <w:r>
        <w:rPr>
          <w:color w:val="FF0000"/>
        </w:rPr>
        <w:t xml:space="preserve"> </w:t>
      </w:r>
      <w:r>
        <w:rPr>
          <w:rFonts w:ascii="Times New Roman;sans-serif" w:hAnsi="Times New Roman;sans-serif"/>
          <w:b w:val="false"/>
          <w:color w:val="000000"/>
          <w:sz w:val="20"/>
        </w:rPr>
        <w:t>for Progyny Rx, our integrated pharmacy benefits solution, as of December 31, 2024. Our members experience healthier pregnancies and superior rates of pregnancy and live births, as well as reduced rates of miscarriages and multiple births, saving valuable time and money and limiting personal and professional disruption.</w:t>
      </w:r>
    </w:p>
    <w:tbl>
      <w:tblPr>
        <w:tblW w:w="10205" w:type="dxa"/>
        <w:jc w:val="left"/>
        <w:tblInd w:w="0" w:type="dxa"/>
        <w:tblLayout w:type="fixed"/>
        <w:tblCellMar>
          <w:top w:w="28" w:type="dxa"/>
          <w:left w:w="28" w:type="dxa"/>
          <w:bottom w:w="28" w:type="dxa"/>
          <w:right w:w="28" w:type="dxa"/>
        </w:tblCellMar>
      </w:tblPr>
      <w:tblGrid>
        <w:gridCol w:w="925"/>
        <w:gridCol w:w="762"/>
        <w:gridCol w:w="772"/>
        <w:gridCol w:w="109"/>
        <w:gridCol w:w="109"/>
        <w:gridCol w:w="109"/>
        <w:gridCol w:w="575"/>
        <w:gridCol w:w="515"/>
        <w:gridCol w:w="1282"/>
        <w:gridCol w:w="109"/>
        <w:gridCol w:w="109"/>
        <w:gridCol w:w="109"/>
        <w:gridCol w:w="507"/>
        <w:gridCol w:w="474"/>
        <w:gridCol w:w="1187"/>
        <w:gridCol w:w="109"/>
        <w:gridCol w:w="109"/>
        <w:gridCol w:w="109"/>
        <w:gridCol w:w="483"/>
        <w:gridCol w:w="444"/>
        <w:gridCol w:w="1298"/>
      </w:tblGrid>
      <w:tr>
        <w:trPr/>
        <w:tc>
          <w:tcPr>
            <w:tcW w:w="92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Outcome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National Averages for All Provider Clinics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Progyny In-Network Provider Clinic </w:t>
              <w:br/>
              <w:t xml:space="preserve">Averages </w:t>
              <w:br/>
              <w:t>for All Patients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 xml:space="preserve">Progyny In-Network Provider Clinic </w:t>
            </w:r>
          </w:p>
          <w:p>
            <w:pPr>
              <w:pStyle w:val="TableContents"/>
              <w:bidi w:val="0"/>
              <w:spacing w:lineRule="auto" w:line="276" w:before="0" w:after="1"/>
              <w:jc w:val="center"/>
              <w:rPr>
                <w:rFonts w:ascii="Times New Roman;sans-serif" w:hAnsi="Times New Roman;sans-serif"/>
                <w:b/>
                <w:color w:val="000000"/>
                <w:sz w:val="16"/>
              </w:rPr>
            </w:pPr>
            <w:r>
              <w:rPr>
                <w:rFonts w:ascii="Times New Roman;sans-serif" w:hAnsi="Times New Roman;sans-serif"/>
                <w:b/>
                <w:color w:val="000000"/>
                <w:sz w:val="16"/>
              </w:rPr>
              <w:t>Averages</w:t>
            </w:r>
          </w:p>
          <w:p>
            <w:pPr>
              <w:pStyle w:val="TableContents"/>
              <w:bidi w:val="0"/>
              <w:spacing w:lineRule="auto" w:line="276" w:before="0" w:after="1"/>
              <w:jc w:val="center"/>
              <w:rPr/>
            </w:pPr>
            <w:r>
              <w:rPr>
                <w:rFonts w:ascii="Times New Roman;sans-serif" w:hAnsi="Times New Roman;sans-serif"/>
                <w:b/>
                <w:color w:val="000000"/>
                <w:sz w:val="16"/>
              </w:rPr>
              <w:t>for Progyny Members Only</w:t>
            </w:r>
            <w:r>
              <w:rPr>
                <w:rFonts w:ascii="Times New Roman;sans-serif" w:hAnsi="Times New Roman;sans-serif"/>
                <w:b/>
                <w:color w:val="000000"/>
                <w:sz w:val="8"/>
              </w:rPr>
              <w:t>(3)</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Live birth rate per attempted retrieval</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Single embryo transfer rate</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2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Pregnancy rate per IVF transfer</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2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1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2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Miscarriage rate</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1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Live birth rate per transfer</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2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1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2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IVF multiples rate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60" w:after="283"/>
        <w:ind w:left="0" w:right="0" w:hanging="360"/>
        <w:jc w:val="left"/>
        <w:rPr/>
      </w:pPr>
      <w:r>
        <w:rPr>
          <w:rFonts w:ascii="Times New Roman;sans-serif" w:hAnsi="Times New Roman;sans-serif"/>
          <w:b w:val="false"/>
          <w:color w:val="000000"/>
          <w:sz w:val="20"/>
        </w:rPr>
        <w:t xml:space="preserve">(1)Calculated based on the Society for </w:t>
      </w:r>
      <w:r>
        <w:rPr>
          <w:rFonts w:ascii="Times New Roman;sans-serif" w:hAnsi="Times New Roman;sans-serif"/>
          <w:b w:val="false"/>
          <w:color w:val="000000"/>
          <w:sz w:val="20"/>
          <w:shd w:fill="FFFFFF" w:val="clear"/>
        </w:rPr>
        <w:t>Assisted Reproducti</w:t>
      </w:r>
      <w:r>
        <w:rPr>
          <w:rFonts w:ascii="Times New Roman;sans-serif" w:hAnsi="Times New Roman;sans-serif"/>
          <w:b w:val="false"/>
          <w:color w:val="000000"/>
          <w:sz w:val="20"/>
        </w:rPr>
        <w:t>ve Technology, or SART, 2021 National Summary Report, finalized in 2024.</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(2)Calculated based on CDC, 2022 National Summary and Clinic Data Sets, published in 2024.</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(3)Calculated based on the 12-month period ended December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Model</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Fertility Benefits Solution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Our fertility benefits solution includes providing members with access to effective and cost-efficient fertility treatments through our Smart Cycle plan design. Smart Cycles are proprietary treatment bundles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Progyny Care Advocates, or PCAs, can choose their preferred provider clinics within our network and utilize the specific Smart Cycle treatment bundles necessary for the treatment pathway they determine throughout their fertility journey.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 xml:space="preserve">Pharmacy Benefits Solution. </w:t>
      </w:r>
      <w:r>
        <w:rPr>
          <w:rFonts w:ascii="Times New Roman;sans-serif" w:hAnsi="Times New Roman;sans-serif"/>
          <w:b w:val="false"/>
          <w:color w:val="000000"/>
          <w:sz w:val="20"/>
        </w:rPr>
        <w:t>Progyny Rx can only be 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pStyle w:val="TextBody"/>
        <w:bidi w:val="0"/>
        <w:spacing w:lineRule="auto" w:line="288" w:before="240" w:after="283"/>
        <w:ind w:left="0" w:right="0" w:firstLine="720"/>
        <w:jc w:val="both"/>
        <w:rPr/>
      </w:pPr>
      <w:r>
        <w:rPr>
          <w:rFonts w:ascii="Times New Roman;sans-serif" w:hAnsi="Times New Roman;sans-serif"/>
          <w:b/>
          <w:i/>
          <w:color w:val="000000"/>
          <w:sz w:val="20"/>
          <w:shd w:fill="FFFFFF" w:val="clear"/>
        </w:rPr>
        <w:t>Our Clients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We currently serve over 530 employers with at least 1,000 covered lives in the United States across more than 40 industries. Our current clients, who are industry leaders across both high-growth and mature industries and who range in size from approximately 1,000 to 600,000 employees, represent approximately 6.7 million covered lives.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clients primarily contract with us to provide our fertility benefits solution and, where added on by our clients, our Progyny Rx solution. Our revenue has both a utilization-based component and a population-based component,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Utilization Component. </w:t>
      </w:r>
      <w:r>
        <w:rPr>
          <w:rFonts w:ascii="Times New Roman;sans-serif" w:hAnsi="Times New Roman;sans-serif"/>
          <w:b w:val="false"/>
          <w:color w:val="000000"/>
          <w:sz w:val="20"/>
        </w:rPr>
        <w:t>Clients pay us for the fertility benefits and Progyny Rx solutions utilized by their 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Population-Based Component. </w:t>
      </w:r>
      <w:r>
        <w:rPr>
          <w:rFonts w:ascii="Times New Roman;sans-serif" w:hAnsi="Times New Roman;sans-serif"/>
          <w:b w:val="false"/>
          <w:color w:val="000000"/>
          <w:sz w:val="20"/>
        </w:rPr>
        <w:t>Clients who purchase our fertility benefits solution also typically pay us a per 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1% and 2% of our total revenue for the three months ended March 31, 2025 and 2024, respectively.</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Our revenue in a given year is determined by the utilization, including rate of consumption and mix,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 </w:t>
      </w:r>
    </w:p>
    <w:p>
      <w:pPr>
        <w:pStyle w:val="TextBody"/>
        <w:bidi w:val="0"/>
        <w:spacing w:lineRule="auto" w:line="276" w:before="240" w:after="283"/>
        <w:ind w:left="0" w:right="0" w:firstLine="720"/>
        <w:jc w:val="both"/>
        <w:rPr/>
      </w:pPr>
      <w:r>
        <w:rPr>
          <w:rFonts w:ascii="Times New Roman;sans-serif" w:hAnsi="Times New Roman;sans-serif"/>
          <w:b w:val="false"/>
          <w:color w:val="000000"/>
          <w:sz w:val="20"/>
        </w:rPr>
        <w:t>Similarly, for existing clients, any changes in plan designs are typically elected by the end of October so that clients can inform their employees of the benefits during the open enrollment period ahead of a January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plan year start.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Operational and Business Metrics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measures presented in our consolidated financial statements, we use the following key operational and business metrics to evaluate our business, measure our performance, develop financial forecasts, and make strategic decisions.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Member and Client Base.</w:t>
      </w:r>
      <w:r>
        <w:rPr>
          <w:color w:val="000000"/>
        </w:rPr>
        <w:t xml:space="preserve"> </w:t>
      </w:r>
      <w:r>
        <w:rPr>
          <w:rFonts w:ascii="Times New Roman;sans-serif" w:hAnsi="Times New Roman;sans-serif"/>
          <w:b w:val="false"/>
          <w:color w:val="000000"/>
          <w:sz w:val="20"/>
        </w:rPr>
        <w:t>Our addressable market is primarily large self-insured employers, as well as labor populations under the Labor Management Relations Act of 1947 (also known as the Taft-Hartley Act) and federal government populations. There are approximately 8,000 employers in the United States who have a minimum of 1,000 employees, who together with Taft-Hartley labor populations and federal government populations, represent approximately 106 million potential covered lives in total. Our current member base of approximately 6.7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w:t>
      </w:r>
      <w:r>
        <w:rPr>
          <w:color w:val="000000"/>
        </w:rPr>
        <w:t xml:space="preserve"> </w:t>
      </w:r>
      <w:r>
        <w:rPr>
          <w:rFonts w:ascii="Times New Roman;sans-serif" w:hAnsi="Times New Roman;sans-serif"/>
          <w:b w:val="false"/>
          <w:color w:val="000000"/>
          <w:sz w:val="20"/>
        </w:rPr>
        <w:t>covered lives. As of March 31, 2025 and December 31, 2024, we served 532 and 473 clients, representing 6,712,000 and 6,472,000 members,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tbl>
      <w:tblPr>
        <w:tblW w:w="7110" w:type="dxa"/>
        <w:jc w:val="left"/>
        <w:tblInd w:w="0" w:type="dxa"/>
        <w:tblLayout w:type="fixed"/>
        <w:tblCellMar>
          <w:top w:w="28" w:type="dxa"/>
          <w:left w:w="28" w:type="dxa"/>
          <w:bottom w:w="28" w:type="dxa"/>
          <w:right w:w="28" w:type="dxa"/>
        </w:tblCellMar>
      </w:tblPr>
      <w:tblGrid>
        <w:gridCol w:w="623"/>
        <w:gridCol w:w="550"/>
        <w:gridCol w:w="552"/>
        <w:gridCol w:w="109"/>
        <w:gridCol w:w="109"/>
        <w:gridCol w:w="109"/>
        <w:gridCol w:w="233"/>
        <w:gridCol w:w="233"/>
        <w:gridCol w:w="201"/>
        <w:gridCol w:w="141"/>
        <w:gridCol w:w="141"/>
        <w:gridCol w:w="141"/>
        <w:gridCol w:w="488"/>
        <w:gridCol w:w="488"/>
        <w:gridCol w:w="256"/>
        <w:gridCol w:w="109"/>
        <w:gridCol w:w="109"/>
        <w:gridCol w:w="109"/>
        <w:gridCol w:w="200"/>
        <w:gridCol w:w="200"/>
        <w:gridCol w:w="201"/>
        <w:gridCol w:w="165"/>
        <w:gridCol w:w="165"/>
        <w:gridCol w:w="165"/>
        <w:gridCol w:w="488"/>
        <w:gridCol w:w="488"/>
        <w:gridCol w:w="337"/>
      </w:tblGrid>
      <w:tr>
        <w:trPr/>
        <w:tc>
          <w:tcPr>
            <w:tcW w:w="6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Client Tier (Members)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Clients</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Members</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261,000 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2,501 - 10,000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10,001 - 50,000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1,935,000 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3,125,000 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6,472,000 </w:t>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i/>
          <w:color w:val="000000"/>
          <w:sz w:val="20"/>
        </w:rPr>
        <w:t>Benefits Utilization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A key driver of our revenue is the number of members we serve and the rate at which they utilize their fertility benefits. As our client base has grown, our membership has grown from approximately 0.1 million members in 2016 when we launched our fertility benefits solution to approximately 6.7 million members</w:t>
      </w:r>
      <w:r>
        <w:rPr>
          <w:color w:val="000000"/>
        </w:rPr>
        <w:t xml:space="preserve"> </w:t>
      </w:r>
      <w:r>
        <w:rPr>
          <w:rFonts w:ascii="Times New Roman;sans-serif" w:hAnsi="Times New Roman;sans-serif"/>
          <w:b w:val="false"/>
          <w:color w:val="000000"/>
          <w:sz w:val="20"/>
        </w:rPr>
        <w:t>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highlights the number of assisted reproductive treatment, or ART, cycles performed for Progyny members and the member utilization rates for each of the periods presented: </w:t>
      </w:r>
    </w:p>
    <w:tbl>
      <w:tblPr>
        <w:tblW w:w="6572" w:type="dxa"/>
        <w:jc w:val="left"/>
        <w:tblInd w:w="0" w:type="dxa"/>
        <w:tblLayout w:type="fixed"/>
        <w:tblCellMar>
          <w:top w:w="28" w:type="dxa"/>
          <w:left w:w="28" w:type="dxa"/>
          <w:bottom w:w="28" w:type="dxa"/>
          <w:right w:w="28" w:type="dxa"/>
        </w:tblCellMar>
      </w:tblPr>
      <w:tblGrid>
        <w:gridCol w:w="1500"/>
        <w:gridCol w:w="1318"/>
        <w:gridCol w:w="1322"/>
        <w:gridCol w:w="348"/>
        <w:gridCol w:w="348"/>
        <w:gridCol w:w="235"/>
        <w:gridCol w:w="175"/>
        <w:gridCol w:w="175"/>
        <w:gridCol w:w="175"/>
        <w:gridCol w:w="333"/>
        <w:gridCol w:w="333"/>
        <w:gridCol w:w="310"/>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Assisted Reproductive Treatment (ART) Cycles</w:t>
            </w:r>
            <w:r>
              <w:rPr>
                <w:rFonts w:ascii="Times New Roman;sans-serif" w:hAnsi="Times New Roman;sans-serif"/>
                <w:b w:val="false"/>
                <w:color w:val="000000"/>
                <w:sz w:val="13"/>
              </w:rPr>
              <w:t>(1)</w:t>
            </w:r>
          </w:p>
        </w:tc>
        <w:tc>
          <w:tcPr>
            <w:tcW w:w="9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16,160</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Utilization - All Members</w:t>
            </w:r>
            <w:r>
              <w:rPr>
                <w:rFonts w:ascii="Times New Roman;sans-serif" w:hAnsi="Times New Roman;sans-serif"/>
                <w:b w:val="false"/>
                <w:color w:val="000000"/>
                <w:sz w:val="13"/>
              </w:rPr>
              <w:t>(2)</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ans-serif" w:hAnsi="Times New Roman;sans-serif"/>
                <w:b w:val="false"/>
                <w:color w:val="000000"/>
                <w:sz w:val="20"/>
              </w:rPr>
              <w:t>Utilization - Female Only</w:t>
            </w:r>
            <w:r>
              <w:rPr>
                <w:rFonts w:ascii="Times New Roman;sans-serif" w:hAnsi="Times New Roman;sans-serif"/>
                <w:b w:val="false"/>
                <w:color w:val="000000"/>
                <w:sz w:val="13"/>
              </w:rPr>
              <w:t>(2)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Average Members </w:t>
            </w:r>
            <w:r>
              <w:rPr>
                <w:rFonts w:ascii="Times New Roman;sans-serif" w:hAnsi="Times New Roman;sans-serif"/>
                <w:b w:val="false"/>
                <w:color w:val="000000"/>
                <w:sz w:val="13"/>
              </w:rPr>
              <w:t>(3)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6,695,000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6,350,000</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the number of ART cycles performed, including IVF with a fresh embryo transfer, IVF freeze all cycles/embryo banking, frozen embryo transfers, and egg freezing. Includes ART cycles performed in 2025 under the extended transition of care agreement with the large client who did not renew its services agreement.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the member utilization rate for all fertility and family building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purposes of calculating utilization rates in any given period, the results reflect the number of unique members utilizing the benefit for that period. Individual periods cannot be combined as member treatments may span multiple periods. Utilization for 2025 excludes activity under the extended transition of care agreement with the large client who did not renew its services agreement, as only members meeting certain criteria were eligible to use the benefit.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(3)Includes approximately 300,000 members from a single client who are not reflected in utilization as a result of the client's chosen benefit design. 2025 excludes the limited number of members who were eligible to use the benefit under the extended transition of care agreement with the large client who did not renew its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includes fertility benefits solution revenue, pharmacy benefits solution revenue and PEPM fees.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Fertility Benefits Solution 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Pharmacy Benefits Solution 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 Employee Per Month (PEPM) Fee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services has three primary components: (1) fertility benefits services; (2) pharmacy benefits services; and (3) vendor rebates.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Fertility Benefits Services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Pharmacy Benefits Services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Vendor Rebates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and general and administrative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to support the growth of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and Other Income,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net primarily includes interest income and expense as well as investment income and losses.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the United States and in certain foreign jurisdictions.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substantially all the net deferred tax assets are realizable.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as a percentage of revenue for those periods:</w:t>
      </w:r>
    </w:p>
    <w:tbl>
      <w:tblPr>
        <w:tblW w:w="6564" w:type="dxa"/>
        <w:jc w:val="left"/>
        <w:tblInd w:w="0" w:type="dxa"/>
        <w:tblLayout w:type="fixed"/>
        <w:tblCellMar>
          <w:top w:w="28" w:type="dxa"/>
          <w:left w:w="28" w:type="dxa"/>
          <w:bottom w:w="28" w:type="dxa"/>
          <w:right w:w="28" w:type="dxa"/>
        </w:tblCellMar>
      </w:tblPr>
      <w:tblGrid>
        <w:gridCol w:w="1413"/>
        <w:gridCol w:w="1242"/>
        <w:gridCol w:w="1245"/>
        <w:gridCol w:w="211"/>
        <w:gridCol w:w="826"/>
        <w:gridCol w:w="109"/>
        <w:gridCol w:w="109"/>
        <w:gridCol w:w="109"/>
        <w:gridCol w:w="109"/>
        <w:gridCol w:w="211"/>
        <w:gridCol w:w="82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Cost of services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shd w:fill="CCEEFF" w:val="clear"/>
              </w:rPr>
              <w:t>Sales and marketing</w:t>
            </w:r>
            <w:r>
              <w:rPr>
                <w:rFonts w:ascii="Times New Roman;sans-serif" w:hAnsi="Times New Roman;sans-serif"/>
                <w:b w:val="false"/>
                <w:color w:val="000000"/>
                <w:sz w:val="13"/>
                <w:shd w:fill="CCEEFF" w:val="clear"/>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(2)</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Includes stock-based compensation expense as follows:</w:t>
      </w:r>
    </w:p>
    <w:tbl>
      <w:tblPr>
        <w:tblW w:w="5904"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Adjusted EBITDA is a non-GAAP financial measure that we define as net income, adjusted to exclude depreciation and amortization, stock-based compensation expense, interest and other income, net, and provision for income taxes. See “Management’s Discussion and Analysis of Financial Condition and Result of Operations – Non-GAAP Financial Measure – Adjusted EBITDA" below for a reconciliation of Adjusted EBITDA to net income, the most directly comparable measure calculated in accordance with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tbl>
      <w:tblPr>
        <w:tblW w:w="8572" w:type="dxa"/>
        <w:jc w:val="left"/>
        <w:tblInd w:w="0" w:type="dxa"/>
        <w:tblLayout w:type="fixed"/>
        <w:tblCellMar>
          <w:top w:w="28" w:type="dxa"/>
          <w:left w:w="28" w:type="dxa"/>
          <w:bottom w:w="28" w:type="dxa"/>
          <w:right w:w="28" w:type="dxa"/>
        </w:tblCellMar>
      </w:tblPr>
      <w:tblGrid>
        <w:gridCol w:w="2255"/>
        <w:gridCol w:w="1982"/>
        <w:gridCol w:w="1987"/>
        <w:gridCol w:w="308"/>
        <w:gridCol w:w="308"/>
        <w:gridCol w:w="331"/>
        <w:gridCol w:w="133"/>
        <w:gridCol w:w="133"/>
        <w:gridCol w:w="133"/>
        <w:gridCol w:w="308"/>
        <w:gridCol w:w="308"/>
        <w:gridCol w:w="386"/>
      </w:tblGrid>
      <w:tr>
        <w:trPr/>
        <w:tc>
          <w:tcPr>
            <w:tcW w:w="2255"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 as a percentage of revenue:</w:t>
            </w:r>
          </w:p>
        </w:tc>
        <w:tc>
          <w:tcPr>
            <w:tcW w:w="9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3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percentages shown in the table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 – Adjusted EBITDA</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tbl>
      <w:tblPr>
        <w:tblW w:w="5454" w:type="dxa"/>
        <w:jc w:val="left"/>
        <w:tblInd w:w="0" w:type="dxa"/>
        <w:tblLayout w:type="fixed"/>
        <w:tblCellMar>
          <w:top w:w="28" w:type="dxa"/>
          <w:left w:w="28" w:type="dxa"/>
          <w:bottom w:w="28" w:type="dxa"/>
          <w:right w:w="28" w:type="dxa"/>
        </w:tblCellMar>
      </w:tblPr>
      <w:tblGrid>
        <w:gridCol w:w="1084"/>
        <w:gridCol w:w="950"/>
        <w:gridCol w:w="966"/>
        <w:gridCol w:w="211"/>
        <w:gridCol w:w="721"/>
        <w:gridCol w:w="109"/>
        <w:gridCol w:w="109"/>
        <w:gridCol w:w="109"/>
        <w:gridCol w:w="109"/>
        <w:gridCol w:w="211"/>
        <w:gridCol w:w="721"/>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w:t>
              <w:noBreakHyphen/>
              <w:t>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Three Months Ended March 31, 2025 and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4871" w:type="dxa"/>
        <w:jc w:val="left"/>
        <w:tblInd w:w="0" w:type="dxa"/>
        <w:tblLayout w:type="fixed"/>
        <w:tblCellMar>
          <w:top w:w="28" w:type="dxa"/>
          <w:left w:w="28" w:type="dxa"/>
          <w:bottom w:w="28" w:type="dxa"/>
          <w:right w:w="28" w:type="dxa"/>
        </w:tblCellMar>
      </w:tblPr>
      <w:tblGrid>
        <w:gridCol w:w="304"/>
        <w:gridCol w:w="268"/>
        <w:gridCol w:w="269"/>
        <w:gridCol w:w="465"/>
        <w:gridCol w:w="466"/>
        <w:gridCol w:w="185"/>
        <w:gridCol w:w="185"/>
        <w:gridCol w:w="185"/>
        <w:gridCol w:w="185"/>
        <w:gridCol w:w="465"/>
        <w:gridCol w:w="466"/>
        <w:gridCol w:w="185"/>
        <w:gridCol w:w="109"/>
        <w:gridCol w:w="109"/>
        <w:gridCol w:w="109"/>
        <w:gridCol w:w="186"/>
        <w:gridCol w:w="186"/>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$46.0 million, or 17%, for the three months ended March 31, 2025 compared to the three months ended March 31, 2024. This increase is primarily due to a $36.7 million, or 22%, increase in revenue from our fertility benefits solution and a $9.3 million, or 9%, increase in revenue from our Progyny Rx solution. The increases in revenue from our fertility benefits solution and our Progyny Rx solution were primarily due to the increase in the number of clients and covered lives.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Services</w:t>
      </w:r>
    </w:p>
    <w:tbl>
      <w:tblPr>
        <w:tblW w:w="5424" w:type="dxa"/>
        <w:jc w:val="left"/>
        <w:tblInd w:w="0" w:type="dxa"/>
        <w:tblLayout w:type="fixed"/>
        <w:tblCellMar>
          <w:top w:w="28" w:type="dxa"/>
          <w:left w:w="28" w:type="dxa"/>
          <w:bottom w:w="28" w:type="dxa"/>
          <w:right w:w="28" w:type="dxa"/>
        </w:tblCellMar>
      </w:tblPr>
      <w:tblGrid>
        <w:gridCol w:w="504"/>
        <w:gridCol w:w="444"/>
        <w:gridCol w:w="446"/>
        <w:gridCol w:w="465"/>
        <w:gridCol w:w="466"/>
        <w:gridCol w:w="185"/>
        <w:gridCol w:w="185"/>
        <w:gridCol w:w="185"/>
        <w:gridCol w:w="185"/>
        <w:gridCol w:w="465"/>
        <w:gridCol w:w="466"/>
        <w:gridCol w:w="185"/>
        <w:gridCol w:w="109"/>
        <w:gridCol w:w="109"/>
        <w:gridCol w:w="109"/>
        <w:gridCol w:w="186"/>
        <w:gridCol w:w="186"/>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increased by $32.6 million, or 15%, for the three months ended March 31, 2025 compared to the three months ended March 31, 2024, primarily due to an increase in medical treatment and pharmacy prescription costs associated with fertility treatment delivered. This increase in cost of services was also attributable to an increase in personnel-related costs primarily due to incremental headcount as well as a $0.4 million increase in stock-based compensation expense.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tbl>
      <w:tblPr>
        <w:tblW w:w="5187" w:type="dxa"/>
        <w:jc w:val="left"/>
        <w:tblInd w:w="0" w:type="dxa"/>
        <w:tblLayout w:type="fixed"/>
        <w:tblCellMar>
          <w:top w:w="28" w:type="dxa"/>
          <w:left w:w="28" w:type="dxa"/>
          <w:bottom w:w="28" w:type="dxa"/>
          <w:right w:w="28" w:type="dxa"/>
        </w:tblCellMar>
      </w:tblPr>
      <w:tblGrid>
        <w:gridCol w:w="430"/>
        <w:gridCol w:w="375"/>
        <w:gridCol w:w="380"/>
        <w:gridCol w:w="413"/>
        <w:gridCol w:w="413"/>
        <w:gridCol w:w="345"/>
        <w:gridCol w:w="139"/>
        <w:gridCol w:w="139"/>
        <w:gridCol w:w="139"/>
        <w:gridCol w:w="413"/>
        <w:gridCol w:w="413"/>
        <w:gridCol w:w="345"/>
        <w:gridCol w:w="109"/>
        <w:gridCol w:w="109"/>
        <w:gridCol w:w="109"/>
        <w:gridCol w:w="186"/>
        <w:gridCol w:w="186"/>
        <w:gridCol w:w="544"/>
      </w:tblGrid>
      <w:tr>
        <w:trPr/>
        <w:tc>
          <w:tcPr>
            <w:tcW w:w="4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$13.4 million, or 21%, for the three months ended March 31, 2025 compared to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increased 100 basis points for the three months ended March 31, 2025 compared to the three months ended March 31, 2024, primarily due to ongoing efficiencies realized in the delivery of our care management services.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w:t>
      </w:r>
    </w:p>
    <w:tbl>
      <w:tblPr>
        <w:tblW w:w="5574" w:type="dxa"/>
        <w:jc w:val="left"/>
        <w:tblInd w:w="0" w:type="dxa"/>
        <w:tblLayout w:type="fixed"/>
        <w:tblCellMar>
          <w:top w:w="28" w:type="dxa"/>
          <w:left w:w="28" w:type="dxa"/>
          <w:bottom w:w="28" w:type="dxa"/>
          <w:right w:w="28" w:type="dxa"/>
        </w:tblCellMar>
      </w:tblPr>
      <w:tblGrid>
        <w:gridCol w:w="634"/>
        <w:gridCol w:w="558"/>
        <w:gridCol w:w="562"/>
        <w:gridCol w:w="413"/>
        <w:gridCol w:w="413"/>
        <w:gridCol w:w="185"/>
        <w:gridCol w:w="185"/>
        <w:gridCol w:w="185"/>
        <w:gridCol w:w="185"/>
        <w:gridCol w:w="413"/>
        <w:gridCol w:w="413"/>
        <w:gridCol w:w="185"/>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increased by $2.3 million, or 15%, for the three months ended March 31, 2025 compared to the three months ended March 31, 2024. This increase was primarily due to a $1.8 million increase in personnel-related costs attributable to incremental head count as well as a $0.4 million increase in stock-based compensation expense, and a $0.5 million increase in other related sales and marketing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tbl>
      <w:tblPr>
        <w:tblW w:w="6154" w:type="dxa"/>
        <w:jc w:val="left"/>
        <w:tblInd w:w="0" w:type="dxa"/>
        <w:tblLayout w:type="fixed"/>
        <w:tblCellMar>
          <w:top w:w="28" w:type="dxa"/>
          <w:left w:w="28" w:type="dxa"/>
          <w:bottom w:w="28" w:type="dxa"/>
          <w:right w:w="28" w:type="dxa"/>
        </w:tblCellMar>
      </w:tblPr>
      <w:tblGrid>
        <w:gridCol w:w="837"/>
        <w:gridCol w:w="735"/>
        <w:gridCol w:w="737"/>
        <w:gridCol w:w="413"/>
        <w:gridCol w:w="413"/>
        <w:gridCol w:w="185"/>
        <w:gridCol w:w="185"/>
        <w:gridCol w:w="185"/>
        <w:gridCol w:w="185"/>
        <w:gridCol w:w="413"/>
        <w:gridCol w:w="413"/>
        <w:gridCol w:w="185"/>
        <w:gridCol w:w="109"/>
        <w:gridCol w:w="109"/>
        <w:gridCol w:w="109"/>
        <w:gridCol w:w="180"/>
        <w:gridCol w:w="181"/>
        <w:gridCol w:w="580"/>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Times New Roman;sans-serif" w:hAnsi="Times New Roman;sans-serif"/>
                <w:b w:val="false"/>
                <w:color w:val="000000"/>
                <w:sz w:val="20"/>
              </w:rPr>
              <w:t>%</w:t>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by $5.4 million, or 19%, for the three months ended March 31, 2025 compared to the three months ended March 31, 2024. This increase was primarily due to a $2.6 million increase in personnel-related costs attributable to incremental head count as well as a $0.7 million increase in stock-based compensation expense, an increase of $0.9 million in bad debt expense, and a $1.9 million increase in other related general and administrative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and Other Income, Net</w:t>
      </w:r>
    </w:p>
    <w:tbl>
      <w:tblPr>
        <w:tblW w:w="6194" w:type="dxa"/>
        <w:jc w:val="left"/>
        <w:tblInd w:w="0" w:type="dxa"/>
        <w:tblLayout w:type="fixed"/>
        <w:tblCellMar>
          <w:top w:w="28" w:type="dxa"/>
          <w:left w:w="28" w:type="dxa"/>
          <w:bottom w:w="28" w:type="dxa"/>
          <w:right w:w="28" w:type="dxa"/>
        </w:tblCellMar>
      </w:tblPr>
      <w:tblGrid>
        <w:gridCol w:w="911"/>
        <w:gridCol w:w="803"/>
        <w:gridCol w:w="806"/>
        <w:gridCol w:w="360"/>
        <w:gridCol w:w="361"/>
        <w:gridCol w:w="185"/>
        <w:gridCol w:w="185"/>
        <w:gridCol w:w="185"/>
        <w:gridCol w:w="185"/>
        <w:gridCol w:w="360"/>
        <w:gridCol w:w="361"/>
        <w:gridCol w:w="185"/>
        <w:gridCol w:w="109"/>
        <w:gridCol w:w="109"/>
        <w:gridCol w:w="109"/>
        <w:gridCol w:w="218"/>
        <w:gridCol w:w="218"/>
        <w:gridCol w:w="544"/>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 decreased by $1.6 million for the three months ended March 31, 2025 compared to the three months ended March 31, 2024, primarily due to a decrease in investment income.</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Provision for Income Taxes</w:t>
      </w:r>
    </w:p>
    <w:tbl>
      <w:tblPr>
        <w:tblW w:w="6169" w:type="dxa"/>
        <w:jc w:val="left"/>
        <w:tblInd w:w="0" w:type="dxa"/>
        <w:tblLayout w:type="fixed"/>
        <w:tblCellMar>
          <w:top w:w="28" w:type="dxa"/>
          <w:left w:w="28" w:type="dxa"/>
          <w:bottom w:w="28" w:type="dxa"/>
          <w:right w:w="28" w:type="dxa"/>
        </w:tblCellMar>
      </w:tblPr>
      <w:tblGrid>
        <w:gridCol w:w="841"/>
        <w:gridCol w:w="740"/>
        <w:gridCol w:w="743"/>
        <w:gridCol w:w="413"/>
        <w:gridCol w:w="413"/>
        <w:gridCol w:w="185"/>
        <w:gridCol w:w="185"/>
        <w:gridCol w:w="185"/>
        <w:gridCol w:w="185"/>
        <w:gridCol w:w="360"/>
        <w:gridCol w:w="361"/>
        <w:gridCol w:w="185"/>
        <w:gridCol w:w="109"/>
        <w:gridCol w:w="109"/>
        <w:gridCol w:w="109"/>
        <w:gridCol w:w="233"/>
        <w:gridCol w:w="233"/>
        <w:gridCol w:w="580"/>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Times New Roman;sans-serif" w:hAnsi="Times New Roman;sans-serif"/>
                <w:b w:val="false"/>
                <w:color w:val="000000"/>
                <w:sz w:val="20"/>
              </w:rPr>
              <w:t>%</w:t>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we recorded a provision for income taxes of $11.5 million, as compared to a provision for income taxes of $5.6 million for the three months ended March 31, 2024, primarily due to higher operating profit as well as a decrease in tax benefits for equity compensation, including discrete tax benefits, in the current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As of March 31, 2025, we had $109.2 million of cash and cash equivalents and $146.9 million of marketable securities. We have financed our operations primarily through sales of our solutions and the net proceeds we have received from sales of equity securities.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sans-serif" w:hAnsi="Times New Roman;sans-serif"/>
          <w:b w:val="false"/>
          <w:color w:val="000000"/>
          <w:sz w:val="13"/>
        </w:rPr>
        <w:t>st</w:t>
      </w:r>
      <w:r>
        <w:rPr>
          <w:rFonts w:ascii="Times New Roman;sans-serif" w:hAnsi="Times New Roman;sans-serif"/>
          <w:b w:val="false"/>
          <w:color w:val="000000"/>
          <w:sz w:val="20"/>
        </w:rPr>
        <w:t xml:space="preserve">,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 </w:t>
      </w:r>
    </w:p>
    <w:p>
      <w:pPr>
        <w:pStyle w:val="TextBody"/>
        <w:bidi w:val="0"/>
        <w:spacing w:lineRule="auto" w:line="26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including the proceeds from our marketable securities, and cash flow from operations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amount of capital investment necessary to support our benefits offerings and growth strategy, the expansion of our sales and marketing activities and the continuing market adoption of our solutions. In addition, we may enter into arrangements to acquire or invest in complementary businesses, products, and technologies.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from operations for the periods presented:</w:t>
      </w:r>
    </w:p>
    <w:tbl>
      <w:tblPr>
        <w:tblW w:w="8859" w:type="dxa"/>
        <w:jc w:val="left"/>
        <w:tblInd w:w="0" w:type="dxa"/>
        <w:tblLayout w:type="fixed"/>
        <w:tblCellMar>
          <w:top w:w="28" w:type="dxa"/>
          <w:left w:w="28" w:type="dxa"/>
          <w:bottom w:w="28" w:type="dxa"/>
          <w:right w:w="28" w:type="dxa"/>
        </w:tblCellMar>
      </w:tblPr>
      <w:tblGrid>
        <w:gridCol w:w="2290"/>
        <w:gridCol w:w="2017"/>
        <w:gridCol w:w="2023"/>
        <w:gridCol w:w="211"/>
        <w:gridCol w:w="796"/>
        <w:gridCol w:w="109"/>
        <w:gridCol w:w="109"/>
        <w:gridCol w:w="109"/>
        <w:gridCol w:w="109"/>
        <w:gridCol w:w="211"/>
        <w:gridCol w:w="721"/>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Net cash provided by operating activities was $49.8 million for the three months ended March 31, 2025, primarily consisting of net income of $15.1 million adjusted for certain items, which includes $32.5 million of stock-based compensation expense, $5.7 million of bad debt expense, $1.1 million of depreciation and amortization, $1.1 million of net accretion of discounts on marketable securities, and $0.1 million of loss on disposal of property and equipment. Changes in operating assets and liabilities resulted in cash used in operating activities from increases in accounts receivable of $69.7 million, prepaid expenses and other current assets of $2.4 million, and other noncurrent assets and liabilities of $0.7 million, partially offset by cash provided by operating activities from increases in accounts payable of $49.6 million and accrued expenses and other current liabilities of $17.5 million. These changes were a result of the impact of revenue growth and our operating results as well as the timing of cash collections and payments to third parties, including $0.4 million</w:t>
      </w:r>
      <w:r>
        <w:rPr>
          <w:color w:val="000000"/>
        </w:rPr>
        <w:t xml:space="preserve"> </w:t>
      </w:r>
      <w:r>
        <w:rPr>
          <w:rFonts w:ascii="Times New Roman;sans-serif" w:hAnsi="Times New Roman;sans-serif"/>
          <w:b w:val="false"/>
          <w:color w:val="000000"/>
          <w:sz w:val="20"/>
        </w:rPr>
        <w:t>of cash paid for income taxes, net of refunds received for the period ended March 31, 2025.</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$25.7 million for the three months ended March 31, 2024, primarily consisting of net income of $16.9 million adjusted for certain items, which include $31.1 million of stock-based compensation expense, $4.8 million of bad debt expense, $3.4 million of net accretion of discounts on marketable securities, $2.9 million of deferred tax expense, $0.7 million of depreciation and amortization, and $0.2 million of non-cash interest income. Changes in operating assets and liabilities resulted in cash used in operating activities from increases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of $60.1 million, partially offset by cash provided by operating activities from increases in accrued expenses and other current liabilities of $13.0 million, accounts payable of $4.8 million, and other noncurrent assets and liabilities of $0.1 million and decreases in prepaid expenses and other current assets of $15.2 million. These changes were a result of the impact of revenue growth and our operating results as well as the timing of cash collections and payments to third parties.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$94.6 million for the three months ended March 31, 2025 which primarily consisted of net investments in marketable securities of $82.4 million and $9.3 million of cash used in a business acquisition, net of cash acquired. The remainder of the activity consisted of purchases of computers, software, including capitalized software development costs, and furniture and fixtures. For the three months ended March 31, 2024, net cash provided by investing activities was $19.3 million which primarily consisted of net investments from marketable securities of $20.2 million. The remainder of the activity consisted of purchases of computers, software, including capitalized software development costs, and leasehold improvements. Our capital investments, including investments in technology and the development of software, are expected to increase over the next 12 months as we continue to invest in our benefits offerings and growth strategy.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$3.3 million for the three months ended March 31, 2025, consisting of payments of $3.6 million for employee taxes related to equity awards, partially offset by $0.3 million in proceeds from contributions to our employee stock purchase plan.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$27.4 million for the three months ended March 31, 2024, consisting of repurchases of $23.8 million of common stock under the share repurchase programs and payments of $5.0 million for employee taxes related to equity awards, partially offset by $1.0 million in proceeds from stock option exercises and $0.4 million in proceeds from contributions to our employee stock purchase plan.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lineRule="auto" w:line="25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our Board of Directors authorized a share repurchase program of up to $100 million in shares of common stock. In May 2024, our Board of Directors authorized an additional share repurchase program of up to $100 million in shares of common stock. In August 2024, our Board of Directors authorized an additional share repurchase program of up to $100 million in shares of common stock. As of the year ended December 31, 2024, the share repurchase programs were completed, and no amounts remained available for repurchase under the programs.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Lease Commitments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entered into a lease agreement for leases commencing in February 2023 and March 2025 for additional space in our corporate offices in New York, New York, consisting of a 24,099 square foot office and a 21,262 square foot office, respectively. The lease agreement also provides for continued occupancy of the 25,212 square foot office after the expiration of the current sublease. For the 24,099 square foot office, we pay the base rent of approximately $1.4 million per year through the end of the fifth year and approximately $1.5 million per year thereafter through April 2036, the expiration date. For the 21,262 square foot office, we will pay the base rent of approximately $1.3 million per year starting in the April 2026 through the end of the fifth year and approximately $1.4 million per year thereafter through the April 2036, the expiration date. For our current 25,212 square foot office, we will pay the base rent of approximately $1.6 million per year beginning in June 2029 through the April 2036, the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full discussion of recently adopted accounting pronouncements, see "Financial Statements (Unaudited) —Note 2 – Significant Accounting Policies", to the consolidated financial statements included in Part I, Item 1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w:t>
      </w:r>
    </w:p>
    <w:p>
      <w:pPr>
        <w:pStyle w:val="TextBody"/>
        <w:bidi w:val="0"/>
        <w:spacing w:lineRule="auto" w:line="276"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risk is highly sensitive due to many factors, including U.S. monetary and tax policies, U.S. and international economic factors and other factors beyond our control.</w:t>
      </w:r>
    </w:p>
    <w:p>
      <w:pPr>
        <w:pStyle w:val="TextBody"/>
        <w:bidi w:val="0"/>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cash and cash equivalents of $109.2 million and marketable securities of $146.9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Inflation Rate Risk </w:t>
      </w:r>
    </w:p>
    <w:p>
      <w:pPr>
        <w:pStyle w:val="TextBody"/>
        <w:bidi w:val="0"/>
        <w:spacing w:lineRule="auto" w:line="28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March 31, 2025.</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that term is defined in Rules 13a-15(f) and 15d-15(f) under the Exchange Act) that occurred during the quarter ended March 31, 2025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Part I, Item 1 “Financial Statements (Unaudited) — Note 6 —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RISK FACTORS</w:t>
      </w:r>
      <w:r>
        <w:rPr>
          <w:color w:val="000000"/>
        </w:rPr>
        <w:t xml:space="preserv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The risks and uncertainties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fail to meet our publicly announced guidance or other expectations about our business and future results of operations, which would cause our stock price to decline.</w:t>
      </w:r>
    </w:p>
    <w:p>
      <w:pPr>
        <w:pStyle w:val="TextBody"/>
        <w:bidi w:val="0"/>
        <w:spacing w:lineRule="auto" w:line="276" w:before="240" w:after="240"/>
        <w:ind w:left="0" w:right="0" w:firstLine="720"/>
        <w:jc w:val="both"/>
        <w:rPr/>
      </w:pPr>
      <w:r>
        <w:rPr>
          <w:rFonts w:ascii="Times New Roman;sans-serif" w:hAnsi="Times New Roman;sans-serif"/>
          <w:b w:val="false"/>
          <w:color w:val="000000"/>
          <w:sz w:val="20"/>
        </w:rPr>
        <w:t xml:space="preserve">We have provided, and may continue to provide, guidance about our business and future results of operations. On May 8, 2025, we issued guidance for the second quarter of </w:t>
      </w:r>
      <w:r>
        <w:rPr>
          <w:rFonts w:ascii="Times New Roman;sans-serif" w:hAnsi="Times New Roman;sans-serif"/>
          <w:b w:val="false"/>
          <w:color w:val="000000"/>
          <w:sz w:val="20"/>
          <w:shd w:fill="FFFFFF" w:val="clear"/>
        </w:rPr>
        <w:t>2025 and full year 2025. Our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guidance, our management must make certain assumptions and judgments about, among other things, our business strategy, plans, and goals; expectations concerning our market position and future operations; and other financial and operating information, as well as the impact of events beyond our control, such as macroeconomic conditions, shortages of fertility medications or trends in utilization or consumption, that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consensus due to a number of factors, many of which are outside of our control and which could adversely affect our business and future results of operations. In addition,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market in which we operate is highly competitive, and, if we do not continue to compete effectively, our business, financial condition and results of operations could be harmed.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operate in a highly competitive market and compete on the basis of several factors, including: the value and comprehensiveness of our solutions and the Smart Cycle (our unique approach to benefits plan design that ensures that members always have coverage for a full treatment cycle as their access to treatment is not limited by a dollar maximum that could be exhausted mid-treatment), superior outcomes, access for all employee groups and covered dependents, equitable access to care across geographic areas, quality of the member experience and comprehensive member support, access to our selective Center of Excellence network of high-quality fertility specialists, data reporting and analysis and access to an integrated pharmacy solution. While we do not believe any single competitor offers similarly robust and integrated fertility and family building benefits solutions, there are alternative solutions in the market offered by health insurance companies, entities owned or sponsored by health insurance companies, and venture capital or private equity-backed companies that focus on maternity and reproductive health services more broadly or that provide fertility-specific benefits solutions.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As we market our solutions to potential clients that currently utilize other fertility benefits vendors, we may fail to convince their internal stakeholders that our offerings and our model are superior to their current solutions. </w:t>
      </w:r>
      <w:r>
        <w:rPr>
          <w:rFonts w:ascii="Times New Roman;sans-serif" w:hAnsi="Times New Roman;sans-serif"/>
          <w:b w:val="false"/>
          <w:color w:val="000000"/>
          <w:sz w:val="20"/>
          <w:shd w:fill="FFFFFF" w:val="clear"/>
        </w:rPr>
        <w:t xml:space="preserve">Some of our competitors are more established, benefit from greater brand recognition and have substantially greater financial, technical and marketing resources. Our competitors may develop or integrate solutions and services that may be more efficient or appealing to our existing and potential clients. For example, fertility-focused PBMs could emerge that would compete with Progyny Rx. In addition, we believe one of our key competitive advantages is our purpose-built, data-driven platform. While we do not believe any competitors have developed a similarly robust data collection, sharing and reporting process at this time, current or future competitors may be successful in doing so in the future.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As the market in which we operate matures and more competitors enter the market and introduce differentiated solutions or services that compete with our solutions, </w:t>
      </w:r>
      <w:r>
        <w:rPr>
          <w:rFonts w:ascii="Times New Roman;sans-serif" w:hAnsi="Times New Roman;sans-serif"/>
          <w:b w:val="false"/>
          <w:color w:val="000000"/>
          <w:sz w:val="20"/>
        </w:rPr>
        <w:t xml:space="preserve">our success depends on our ability to: compete effectively in our market, </w:t>
      </w:r>
      <w:r>
        <w:rPr>
          <w:rFonts w:ascii="Times New Roman;sans-serif" w:hAnsi="Times New Roman;sans-serif"/>
          <w:b w:val="false"/>
          <w:color w:val="000000"/>
          <w:sz w:val="20"/>
          <w:shd w:fill="FFFFFF" w:val="clear"/>
        </w:rPr>
        <w:t xml:space="preserve">identify and effectively respond to changes in market dynamics and client and member preferences, </w:t>
      </w:r>
      <w:r>
        <w:rPr>
          <w:rFonts w:ascii="Times New Roman;sans-serif" w:hAnsi="Times New Roman;sans-serif"/>
          <w:b w:val="false"/>
          <w:color w:val="000000"/>
          <w:sz w:val="20"/>
        </w:rPr>
        <w:t>maintain or increase our market share, and differentiate our offerings by innovating and delivering products and services that provide enhanced value to our clients and members</w:t>
      </w:r>
      <w:r>
        <w:rPr>
          <w:rFonts w:ascii="Times New Roman;sans-serif" w:hAnsi="Times New Roman;sans-serif"/>
          <w:b w:val="false"/>
          <w:color w:val="000000"/>
          <w:sz w:val="20"/>
          <w:shd w:fill="FFFFFF" w:val="clear"/>
        </w:rPr>
        <w:t>. As we market our solutions to existing and potential clients, we must convince them that our solutions and our model are superior to our competitors. As a result of these and other factors, we may be unable to continue to compete successfully, which would have an adverse effect on our business, financial condition and results of operations.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declining market share, which would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many healthcare industry participants are consolidating to create larger and more integrated healthcare delivery systems with greater market power, and we expect regulatory and economic conditions to result in additional consolidation in the healthcare industry. Financial investors are acquiring fertility practices, and this may accelerate consolidation within the fertility industry. Although comprehensive, our solution is a standalone fertility benefit, and clients may prefer a single healthcare solution, which could adversely affect our ability to retain existing clients or grow our client base. We work with partner organizations to market our benefit to potential clients. As consolidation accelerates, the economies of scale of our partner organizations may grow. If a partner experiences sizable growth following consolidation, it may determine that it no longer needs to rely on us and may reduce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also have a material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Unfavorable conditions in the global economy or our industry could limit our ability to grow our business and negatively affect our results of operations.</w:t>
      </w:r>
    </w:p>
    <w:p>
      <w:pPr>
        <w:pStyle w:val="TextBody"/>
        <w:bidi w:val="0"/>
        <w:spacing w:lineRule="auto" w:line="26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geopolitical conflict, political turmoil, natural catastrophes, epidemics, pandemics or outbreaks of contagious diseases, warfare and terrorist attacks, could cause a decrease in business investments, including spending on employee benefits, and negatively affect the growth of our business. In addition,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Unfavorable changes in our industry, including reductions in general healthcare spending, or in the United States and global economy could have a negative effect on our and our existing clients’ and potential clients’ results of operations. This could result in the delay or cancellation by certain clients, including if adoption of our solutions are perceived by existing clients and potential clients to be discretionary, if they experience a reduction in their employee headcount, whether due to reductions in force or turnover, or are unable to grow employee headcount or there are material defaults by members on past amounts due. An increase in the cost of obtaining fertility medication or general medical cost inflation could also negatively impact our results of operations. In addition, the increased pace of consolidation in the healthcare industry may result in competitors with greater market power, which may adversely affect our ability to retain existing clients and attract new clients. </w:t>
      </w:r>
      <w:r>
        <w:rPr>
          <w:rFonts w:ascii="Times New Roman;sans-serif" w:hAnsi="Times New Roman;sans-serif"/>
          <w:b w:val="false"/>
          <w:color w:val="000000"/>
          <w:sz w:val="20"/>
        </w:rPr>
        <w:t>Many economists believe the global economy will likely experience a recessionary environment in the near future.</w:t>
      </w:r>
      <w:r>
        <w:rPr>
          <w:color w:val="000000"/>
          <w:shd w:fill="FFFFFF" w:val="clear"/>
        </w:rPr>
        <w:t xml:space="preserve"> </w:t>
      </w:r>
      <w:r>
        <w:rPr>
          <w:rFonts w:ascii="Times New Roman;sans-serif" w:hAnsi="Times New Roman;sans-serif"/>
          <w:b w:val="false"/>
          <w:color w:val="000000"/>
          <w:sz w:val="20"/>
        </w:rPr>
        <w:t xml:space="preserve">The Federal Reserve’s efforts to tame inflation have led to, and may continue to lead to, increased interest rates. A significant escalation or expansion of economic disruption could have a material adverse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pPr>
      <w:r>
        <w:rPr>
          <w:rFonts w:ascii="Times New Roman;sans-serif" w:hAnsi="Times New Roman;sans-serif"/>
          <w:b w:val="false"/>
          <w:color w:val="000000"/>
          <w:sz w:val="20"/>
        </w:rPr>
        <w:t>on our results of operations.</w:t>
      </w:r>
      <w:r>
        <w:rPr>
          <w:color w:val="000000"/>
          <w:shd w:fill="FFFFFF" w:val="clear"/>
        </w:rPr>
        <w:t xml:space="preserve"> </w:t>
      </w:r>
      <w:r>
        <w:rPr>
          <w:rFonts w:ascii="Times New Roman;sans-serif" w:hAnsi="Times New Roman;sans-serif"/>
          <w:b w:val="false"/>
          <w:color w:val="000000"/>
          <w:sz w:val="20"/>
          <w:shd w:fill="FFFFFF" w:val="clear"/>
        </w:rPr>
        <w:t>We cannot predict the timing, strength, or duration of any economic slowdown, instability, or recovery, generally or within any particular industry, nor its impact on us or our clients.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retain our existing clients and increase the adoption of our services within our client base. Any failure to do so would harm our business, financial condition and results of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growth strategy, we are focused on retaining and expanding our services within our existing client base. Our clients can expand the benefits they offer their employees in a number of ways, including by adding egg freezing, increasing the number of Smart Cycle units, and adding our Progyny Rx solution or any of our other solutions and services. We went live with Progyny Rx in 2018 and 91% of our current clients have now launched this solution, including approximately 95% of the clients we signed in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ability to retain our existing clients and sell additional solutions to them include, but are not limited to,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price, timeliness and outcomes of our solutions;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availability, price, timeliness, outcomes, performance and functionality of competing solutions;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maintain and appropriately expand our Center of Excellence network of high-quality fertility specialists;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ability to continue to offer complementary solutions and services that will enhance our comprehensive fertility and family building offering;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changes in healthcare laws and regulations, the enforcement of such laws and regulations, or healthcare trends;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global economic conditions, including any material increase in unemployment rates, and the business environment of our clients and, in particular, slowing growth or reduction in our clients’ headcount or spending on employee benefits;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consolidation of our clients, resulting in a change to their benefits program or a shift to one of our competitors.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above factors, alone or together, could negatively affect our ability to retain existing clients and sell additional solutions to them, which would have an adverse effect on our business, revenue growth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 </w:t>
      </w:r>
    </w:p>
    <w:p>
      <w:pPr>
        <w:pStyle w:val="TextBody"/>
        <w:bidi w:val="0"/>
        <w:spacing w:lineRule="auto" w:line="276"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currently have contracts to serve over 530 employers with at least 1,000 covered lives in the United States across more than 40 industries. For the three months ended March 31, 2025, no client accounted for more than 10% of our total revenue. For the three months ended March 31, 2024, one of our clients accounted for 11% of our total revenue (the “Client”). In the third quarter of 2024, we were notified that the Client elected to exercise a 90-day option to terminate its services agreement, effective as of January 1, 2025.</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impact our long-term growth.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attract new clients, our business, financial condition and results of operations would be adversely affected.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increase our revenue, we must continue to attract new clients. Our ability to do so depends in large part on the success of our sales and marketing efforts and our ability to attract industry leaders in diversified sectors, which could prompt others in the same sectors to follow suit in order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high unemployment rates, reductions in workforce or employee attrition, impacts related to epidemics, pandemics, and outbreaks of contagious diseases, a decrease in business investments, including spending on employee benefits, and other factors. If the market for our solutions declines or grows more slowly than we expect, or if the number of clients that contract with us for our solutions declines or fails to increase as we expect, our financial results could be adversely impacted.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 significant change in the utilization of our fertility solutions, including the consumption rate or the mix of utilization, could have an adverse effect on our business, financial condition and results of operations.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We cannot control or predict the consumption rate of our solutions or the mix of utilization of our solutions by our clients, in particular as it relates to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downturns that result in business failures and high unemployment rates; impacts related to public health emergencies; employers no longer offering comprehensive health coverage or offering alternative solutions such as coverage on a voluntary, employee-funded basis; labor shortages at our provider clinics; changes to the taxability of medical benefits; </w:t>
      </w:r>
      <w:r>
        <w:rPr>
          <w:rFonts w:ascii="Times New Roman;sans-serif" w:hAnsi="Times New Roman;sans-serif"/>
          <w:b w:val="false"/>
          <w:color w:val="000000"/>
          <w:sz w:val="20"/>
        </w:rPr>
        <w:t>failure to adapt and respond effectively to changes in the medical landscape, laws, regulations and government enforcement priorities, client and member needs, requirements or preferences; premium increases and benefits changes; or negative publicity.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It is also difficult for us to control or predict the consumption rate or mix of utilization of our solutions at the member level. If the actual utilization of our solutions by members is significantly greater than budgeted, our clients may be responsible for costs that exceed their planned expenditure. If we cannot help our clients accurately predict rate of consumption by their employees, our clients may turn to alternative solutions, and our business and profitability would be adversely impacted.</w:t>
      </w:r>
      <w:r>
        <w:rPr>
          <w:color w:val="000000"/>
        </w:rPr>
        <w:t xml:space="preserve"> </w:t>
      </w:r>
      <w:r>
        <w:rPr>
          <w:rFonts w:ascii="Times New Roman;sans-serif" w:hAnsi="Times New Roman;sans-serif"/>
          <w:b w:val="false"/>
          <w:color w:val="000000"/>
          <w:sz w:val="20"/>
          <w:shd w:fill="FFFFFF" w:val="clear"/>
        </w:rPr>
        <w:t>In addition, higher clinical success rates and other factors could also impact timing and treatment paths, which may result in lower revenue per utilizing member.</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Acquisitions, strategic investments, or partnerships could be difficult to identify, pose integration challenges, divert the attention of management, disrupt our business, dilute stockholder value, and adversely affect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From time to time, we may acquire or invest in businesses, joint ventures, products and services, or technologies that we believe could complement or expand our solutions, enhance our technical capabilities, or otherwise offer growth opportunities. For example, we acquired Apryl GmbH, a Berlin-based fertility benefits platform, in June 2024 and Benefit Bump LLC, a comprehensive parental leave benefits navigation program for new and growing families in January 2025. We also expanded our offerings to include preconception, maternity and postpartum and menopause and midlife care solutions. </w:t>
      </w:r>
      <w:r>
        <w:rPr>
          <w:rFonts w:ascii="Times New Roman;sans-serif" w:hAnsi="Times New Roman;sans-serif"/>
          <w:b w:val="false"/>
          <w:color w:val="000000"/>
          <w:sz w:val="20"/>
        </w:rPr>
        <w:t xml:space="preserve">We expect to make additional investments as we continue to introduce new solutions and services to enhance our comprehensive family building offering and our technology infrastructure, including systems architecture, scalability, availability, performance and security. </w:t>
      </w:r>
      <w:r>
        <w:rPr>
          <w:rFonts w:ascii="Times New Roman;sans-serif" w:hAnsi="Times New Roman;sans-serif"/>
          <w:b w:val="false"/>
          <w:color w:val="000000"/>
          <w:sz w:val="20"/>
          <w:shd w:fill="FFFFFF" w:val="clear"/>
        </w:rPr>
        <w:t xml:space="preserve">Any such acquisition or investment may divert the attention of management and cause us to incur expenses in identifying, investigating and pursuing suitable opportunities, whether or not the transactions are completed, and may result in unforeseen operating difficulties and expenditures. In particular, we may encounter difficulties integrating the businesses, technologies, products and services, personnel or operations of any acquired companies, particularly if key personnel of an acquired company choose not to work for us, an acquired company is operationally difficult to integrate, or we have difficulty retaining the clients of any acquired business due to changes in ownership, management or otherwise. Any such transactions that we are able to complete may not result in any synergies or other benefits we had expected to achieve, which could result in impairment charges that could be substantial. In addition, certain transactions could also result in dilutive issuances of equity securities or the incurrence of debt,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pPr>
      <w:r>
        <w:rPr>
          <w:rFonts w:ascii="Times New Roman;sans-serif" w:hAnsi="Times New Roman;sans-serif"/>
          <w:b w:val="false"/>
          <w:color w:val="000000"/>
          <w:sz w:val="20"/>
          <w:shd w:fill="FFFFFF" w:val="clear"/>
        </w:rPr>
        <w:t>could adversely affect our results of operations. If the resulting business from a transaction fails to meet our expectations, or we fail to successfully integrate such businesses into our own, our business, financial condition and results of operations may be adversely affected, or we may be exposed to unknown risks or liabilities</w:t>
      </w:r>
      <w:r>
        <w:rPr>
          <w:rFonts w:ascii="Times New Roman;sans-serif" w:hAnsi="Times New Roman;sans-serif"/>
          <w:b w:val="false"/>
          <w:color w:val="000000"/>
          <w:sz w:val="20"/>
        </w:rPr>
        <w:t xml:space="preserv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limited operating history with our current platform of solutions, which makes it difficult to predict our future results of operations.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We went live with our fertility benefits solution in 2016 and Progyny Rx in 2018. As a result of our limited operating history with our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rates, increased competition, changes in healthcare trends and regulations, </w:t>
      </w:r>
      <w:r>
        <w:rPr>
          <w:rFonts w:ascii="Times New Roman;sans-serif" w:hAnsi="Times New Roman;sans-serif"/>
          <w:b w:val="false"/>
          <w:color w:val="000000"/>
          <w:sz w:val="20"/>
        </w:rPr>
        <w:t>changes to science relating to the fertility market</w:t>
      </w:r>
      <w:r>
        <w:rPr>
          <w:rFonts w:ascii="Times New Roman;sans-serif" w:hAnsi="Times New Roman;sans-serif"/>
          <w:b w:val="false"/>
          <w:color w:val="000000"/>
          <w:sz w:val="20"/>
          <w:shd w:fill="FFFFFF" w:val="clear"/>
        </w:rPr>
        <w:t>, a decrease in the growth of the fertility market, or our failure to anticipate and adapt to changing market trends and to take advantage of growth opportunities. If our assumptions regarding these risks and uncertainties and our future revenue growth are incorrect or change, or if we do not address these risks effectively, our operating and financial results could differ materially from our expectations, and our business could suffer.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a history of operating losses and may not sustain profitability in the future.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that we will have sufficient sales to sustain our growth or maintain profitability in the future. We also expect our costs and expenses to increase in future periods, which could negatively affect our future results of operations if our revenue does not increase sufficiently to cover increased costs. In particular, we expect to continue to invest in our sales and client success teams to educate potential clients and drive new client adoption, as well as expand the scope of Progyny benefits within our existing client base. We also expect to incur additional costs as we continue to introduce new solutions and services to enhance our comprehensive family building offering and</w:t>
      </w:r>
      <w:r>
        <w:rPr>
          <w:color w:val="000000"/>
        </w:rPr>
        <w:t xml:space="preserve"> </w:t>
      </w:r>
      <w:r>
        <w:rPr>
          <w:rFonts w:ascii="Times New Roman;sans-serif" w:hAnsi="Times New Roman;sans-serif"/>
          <w:b w:val="false"/>
          <w:color w:val="000000"/>
          <w:sz w:val="20"/>
        </w:rPr>
        <w:t>our technology infrastructure, including systems architecture, scalability, availability, performance and security</w:t>
      </w:r>
      <w:r>
        <w:rPr>
          <w:rFonts w:ascii="Times New Roman;sans-serif" w:hAnsi="Times New Roman;sans-serif"/>
          <w:b w:val="false"/>
          <w:color w:val="000000"/>
          <w:sz w:val="20"/>
          <w:shd w:fill="FFFFFF" w:val="clear"/>
        </w:rPr>
        <w:t>. We will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health benefits industry may be subject to negative publicity, which could adversely affect our business, financial condition and results of operations.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pStyle w:val="TextBody"/>
        <w:bidi w:val="0"/>
        <w:spacing w:lineRule="auto" w:line="288" w:before="240" w:after="283"/>
        <w:jc w:val="both"/>
        <w:rPr/>
      </w:pPr>
      <w:r>
        <w:rPr>
          <w:rFonts w:ascii="Times New Roman;sans-serif" w:hAnsi="Times New Roman;sans-serif"/>
          <w:b/>
          <w:i/>
          <w:color w:val="000000"/>
          <w:sz w:val="20"/>
        </w:rPr>
        <w:t>If our information technology systems, or those of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r>
        <w:rPr>
          <w:rFonts w:ascii="Times New Roman;sans-serif" w:hAnsi="Times New Roman;sans-serif"/>
          <w:b w:val="false"/>
          <w:i/>
          <w:color w:val="000000"/>
          <w:sz w:val="20"/>
        </w:rPr>
        <w:t xml:space="preserv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is increasingly dependent on critical, complex and interdependent information technology systems, including cloud-based systems, to support business processes as well as internal and external communications.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the third parties with whom we do business, including our provider clinics, specialty pharmacies or other vendors, experience an issue with our or their information technology systems, it may result in a disruption to our operations or downstream disruption to our relationships with our clients or our provider clinics. Additionally, if we choose to in source any of the services currently handled by a third-party vendor, it may result in technological or operational disruptions.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In the current environment, there are numerous and evolving risks to cybersecurity and data privacy, including criminal hackers, hacktivists, denial-of-service, ransomware, state-sponsored intrusions, industrial espionage, employee malfeasance and human or technological errors. High-profile cybersecurity breaches at other companies and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particularly in response to the COVID-19 pandemic. As a result of such shift, there have been, and may continue to be, more targeted cyberattacks and threats on us, our vendors, provider clinics and specialty pharmacies. Despite the implementation of security measures, including steps designed to secure our technology infrastructure and sensitive data, we cannot provide assurance that our current information technology system or any updates or upgrades thereto, the current or future information technology systems of the third parties with whom we do business, including our provider clinics, specialty pharmacies or other vendors, are fully protected against malicious intrusion, malware, computer viruses, unauthorized access, natural disasters, terrorism, war, telecommunication and electrical failures, information or data theft or other similar risks.</w:t>
      </w:r>
      <w:r>
        <w:rPr>
          <w:color w:val="000000"/>
        </w:rPr>
        <w:t xml:space="preserve"> </w:t>
      </w:r>
      <w:r>
        <w:rPr>
          <w:rFonts w:ascii="Times New Roman;sans-serif" w:hAnsi="Times New Roman;sans-serif"/>
          <w:b w:val="false"/>
          <w:color w:val="000000"/>
          <w:sz w:val="20"/>
        </w:rPr>
        <w:t xml:space="preserve">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cybersecurity breach were to result in a loss or inappropriate disclosure of confidential or proprietary information, we could incur liability. We have access to sensitive information relating to members, our employees and our business partners in the ordinary course of our business. Any failure or perceived failure by us, or our third-party vendors on our behalf, to comply with U.S. and foreign data privacy and cybersecurity laws, rules and regulations, as well as contractual commitments in this respect, may result in governmental enforcement actions,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clients and have a material adverse effect on us. We maintain cyber liability insurance, however, this insurance may not be sufficient to cover the financial, legal, business or reputational losses that may result from an interruption or breach of our systems, and we cannot be sure that such coverage will continue to be available on commercially reasonable terms or at all. To the extent such disruptions or uncertainties result in the theft, destruction, loss or misappropriation or release of our confidential data or our intellectual property, our business and results of operations could be materially and adversely affected. See “Risks Related to Legal and Regulatory Requirements—We operate in a highly regulated industry and must comply with a significant number of evolving legal and regulatory requirements, as well as complex judicial mandates, which could have an adverse impact on our business—Data Protection and Breaches.”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offer high-quality support, our reputation could suffer.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effectively develop and expand our marketing and sales capabilities could harm our ability to increase our client base and achieve broader market acceptance of the solutions we provide.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client base and achieve broader market acceptance of the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Our future revenue may not grow at the rates they historically have, or at all.</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continue to attract new clients and maintain existing clients;</w:t>
      </w:r>
    </w:p>
    <w:p>
      <w:pPr>
        <w:pStyle w:val="TextBody"/>
        <w:bidi w:val="0"/>
        <w:spacing w:before="0" w:after="0"/>
        <w:jc w:val="both"/>
        <w:rPr/>
      </w:pPr>
      <w:r>
        <w:rPr/>
      </w:r>
    </w:p>
    <w:p>
      <w:pPr>
        <w:pStyle w:val="TextBody"/>
        <w:bidi w:val="0"/>
        <w:spacing w:lineRule="auto" w:line="252" w:before="0" w:after="0"/>
        <w:ind w:left="0" w:right="0" w:hanging="360"/>
        <w:jc w:val="left"/>
        <w:rPr/>
      </w:pPr>
      <w:r>
        <w:rPr>
          <w:color w:val="000000"/>
        </w:rPr>
        <w:t>•</w:t>
      </w:r>
      <w:r>
        <w:rPr>
          <w:rFonts w:ascii="Times New Roman;sans-serif" w:hAnsi="Times New Roman;sans-serif"/>
          <w:b w:val="false"/>
          <w:color w:val="000000"/>
          <w:sz w:val="20"/>
        </w:rPr>
        <w:t>price our solutions and services effectively so that we are able to attract new clients, expand sales to our existing clients and maintain profitability;</w:t>
      </w:r>
    </w:p>
    <w:p>
      <w:pPr>
        <w:pStyle w:val="TextBody"/>
        <w:bidi w:val="0"/>
        <w:spacing w:before="0" w:after="0"/>
        <w:jc w:val="left"/>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provide our clients and members with client support that meets their needs, including through dedicated PCAs;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maintain successful collection of member cost shares and other applicable receivable balances directly from members;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retain and maintain relationships with high-quality and respected fertility specialists;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attract and retain highly qualified personnel to support all clients and members;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maintain satisfactory relationships with insurance carriers;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increase awareness of our brand and successfully compete with other companies.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expect to continue to expend substantial financial and other resources on:</w:t>
      </w:r>
    </w:p>
    <w:p>
      <w:pPr>
        <w:pStyle w:val="TextBody"/>
        <w:bidi w:val="0"/>
        <w:spacing w:before="0" w:after="0"/>
        <w:ind w:left="0" w:right="0" w:firstLine="720"/>
        <w:jc w:val="left"/>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sales and marketing;</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our technology infrastructure, including systems architecture, scalability, availability, performance and security;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general administration, including increased legal and accounting expenses associated with being a public company.</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revenue growth does not meet our expectations in future periods, we may not maintain profitability in the future, and our business, financial position and results of operations may be harmed.</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If the estimates and assumptions we use to determine the size of the target markets for our services are inaccurate, our future growth rate may be impacted, and our business would be harmed.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Market opportunity estimates and growth forecasts, including those we have generated ourselves, are subject to significant uncertainty and are based on assumptions and estimates that may not prove to be accurate, including the risks described herein. Even if the market in which we operate achieves the forecasted growth, our business could fail to grow at similar rates, if at all.</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estimates of the market opportunity for our services are based on the assumption that the purpose-built, data-driven and disruptive fertility benefits platform with the Smart Cycle plan design we offer will continue to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 making, executive orders, court decisions or other changes in the law, or in how such laws, once enacted, would be interpreted and enforced.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 </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ans-serif" w:hAnsi="Times New Roman;sans-serif"/>
          <w:b/>
          <w:i/>
          <w:color w:val="000000"/>
          <w:sz w:val="20"/>
        </w:rPr>
        <w:t>We may not be able to successfully manage our growth, and if we are not able to grow efficiently, our business, financial condition and results of operations could be harmed</w:t>
      </w:r>
      <w:r>
        <w:rPr>
          <w:rFonts w:ascii="Times New Roman;sans-serif" w:hAnsi="Times New Roman;sans-serif"/>
          <w:b/>
          <w:color w:val="000000"/>
          <w:sz w:val="20"/>
        </w:rPr>
        <w:t xml:space="preserv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experiences seasonality, which may cause fluctuations in our revenue and results of operations.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experiences moderate seasonality in revenue with a slightly higher proportion of revenue during the second half of the year as compared to the first half. Given that the majority of our clients contract with us for a January 1st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seasonality of our business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If our new solutions and services are not adopted by our clients or members, or if we fail to innovate and develop new offerings that are adopted by our clients, our revenue and results of operations may be adversely affected.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date, we have derived a substantial majority of our revenue from sales of our fertility benefits and Progyny Rx solutions. As we operate in an evolving industry and new market, our long-term results of operations and continued growth will depend on our ability to successfully develop and market new solutions and services to our clients. If our existing clients and members do not value and/or are not willing to adopt such new solutions or services, it could adversely affect our business, financial condition and results of operations. If we are unable to accurately predict clients’ or members’ preferences, if the market in which we operate changes,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adapt and respond effectively to the changing medical landscape, changing laws, regulations and government enforcement priorities, and changing client needs, requirements or preferences, our offerings may become less competitive.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and enhance our brand, our ability to expand our client base will be impaired, and our business, financial condition and results of operations may suffer.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retain members of our management team or other key employees or fail to attract additional qualified personnel, our business and future growth may be negatively impacted.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and future growth depend, in part, on the continued services of our management team and other key employees as well as our ability to continue to identify, attract, and retain additional highly-qualified personnel. Competition for talent is intense, and many of the companies with which we compete for talent have greater resources than we do. There is no guarantee that we will be able to attract such personnel on terms that are favorable to us or at all. In addition, our management team and other key employees are employed on an at-will basis, which means that these personnel could terminate their employment with us at any time. If we fail to retain one or more members of our management team or other key employees, or fail to attract and retain new personnel, our business and future growth may be negatively impacted.</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Any litigation against us could be costly and time-consuming to defend and could harm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w:t>
      </w:r>
      <w:r>
        <w:rPr>
          <w:color w:val="000000"/>
        </w:rPr>
        <w:t xml:space="preserve"> </w:t>
      </w:r>
      <w:r>
        <w:rPr>
          <w:rFonts w:ascii="Times New Roman;sans-serif" w:hAnsi="Times New Roman;sans-serif"/>
          <w:b w:val="false"/>
          <w:color w:val="000000"/>
          <w:sz w:val="20"/>
        </w:rPr>
        <w:t xml:space="preserve">Insurance might not cover litigation claims, might not provide sufficient payments to cover all the costs to resolve one or more such claims, and might not continue to be available on terms acceptable to us. A claim brought against us that is uninsured or under insured could result in unanticipated costs, including negative publicity, regardless of whether the allegations are valid or we are ultimately liable, which could damage our reputation and have a material adverse impact on our business, financial condition and results of operations. </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Times New Roman;sans-serif" w:hAnsi="Times New Roman;sans-serif"/>
          <w:b/>
          <w:i/>
          <w:color w:val="000000"/>
          <w:sz w:val="20"/>
        </w:rPr>
        <w:t>We are exposed to credit risk from our members</w:t>
      </w:r>
      <w:r>
        <w:rPr>
          <w:rFonts w:ascii="Times New Roman;sans-serif" w:hAnsi="Times New Roman;sans-serif"/>
          <w:b w:val="false"/>
          <w:i/>
          <w:color w:val="000000"/>
          <w:sz w:val="20"/>
        </w:rPr>
        <w:t xml:space="preserv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collect co-payments, co-insurance and deductibles directly from our members. We do not require collateral for such receivables. Our failure to collect a significant portion of the amount due on such receivables directly from members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business with government entities is subject to a number of challenges and risks.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 revised certification. Government demand and payment for our offerings are dependent on many factors beyond our control, including general economic conditions, public sector budgetary constraints and funding authorizations, and general political priorities, with funding reductions or delays adversely affecting public sector demand for our offerings</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enforce our intellectual property rights could impair our ability to protect our proprietary technology and our brand.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Our success depends in part on our ability to protect our brand, trade secrets and confidential information</w:t>
      </w:r>
      <w:r>
        <w:rPr>
          <w:rFonts w:ascii="Times New Roman;sans-serif" w:hAnsi="Times New Roman;sans-serif"/>
          <w:b w:val="false"/>
          <w:color w:val="000000"/>
          <w:sz w:val="20"/>
        </w:rPr>
        <w:t xml:space="preserve">, including unpatented know-how, technology and other proprietary information, and maintaining, defending and enforcing our intellectual property rights. </w:t>
      </w:r>
      <w:r>
        <w:rPr>
          <w:rFonts w:ascii="Times New Roman;sans-serif" w:hAnsi="Times New Roman;sans-serif"/>
          <w:b w:val="false"/>
          <w:color w:val="000000"/>
          <w:sz w:val="20"/>
          <w:shd w:fill="FFFFFF" w:val="clear"/>
        </w:rPr>
        <w:t xml:space="preserve">We rely on our agreements with our clients, non-disclosure and confidentiality agreements with employees and third parties, and our trademarks, trade secrets, and copyrights to protect our intellectual property rights. </w:t>
      </w:r>
      <w:r>
        <w:rPr>
          <w:rFonts w:ascii="Times New Roman;sans-serif" w:hAnsi="Times New Roman;sans-serif"/>
          <w:b w:val="false"/>
          <w:color w:val="000000"/>
          <w:sz w:val="20"/>
        </w:rPr>
        <w:t xml:space="preserve">However, any of these parties may breach such agreements and disclose our confidential or proprietary information, and we may not be able to obtain adequate remedies for such breaches. In addition, we may not be able to detect or prevent the unauthorized use of such information or take appropriate and timely steps to protect and enforce our intellectual property rights.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dilution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violations of our intellectual property. Any litigation and any infringement, misappropriation, dilution or other violations of our intellectual property could hinder our ability to market and sell our solutions, and our business, financial condition and results of operations could be adversely affected.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trade secrets were to be lawfully obtained or independently developed by a competitor or other third party, we would have no right to prevent them from using that technology or information to compete with us, and our competitive position would be harmed.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a third-party's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from their normal responsibilities.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although we take measures to ensure that our employees do not use the confidential or proprietary information or know-how of others in their work for us, we may be subject to claims that we or these employees have used or disclosed intellectual property, including trade secrets or other confidential or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Furthermore, we currently own registered trademarks.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t>
      </w:r>
      <w:r>
        <w:rPr>
          <w:rFonts w:ascii="Times New Roman;sans-serif" w:hAnsi="Times New Roman;sans-serif"/>
          <w:b w:val="false"/>
          <w:color w:val="000000"/>
          <w:sz w:val="20"/>
          <w:shd w:fill="FFFFFF" w:val="clear"/>
        </w:rPr>
        <w:t>which we need to continue to build name recognition with potential partners or clients in our markets of interest.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utilize a portion of our net operating loss carryforwards, which could adversely affect our profitability.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affect the use of our net operating loss carryforwards or other tax attributes existing at the time of the ownership change, which could adversely affect our profitability</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Changes in our effective tax rate or tax liabilities may have an adverse effect on our results of operations.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could be impacted due to several factors, including, but not limited to:</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the relative amounts of income before taxes in the various jurisdictions in which we operate that have differing statutory tax rates;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tax laws, tax treaties, or regulations or the interpretation of them (such as the Inflation Reduction Act, which, among other changes, introduced a 15% corporate minimum tax on certain United States corporations and a 1% excise tax on certain stock redemptions by United States corporations);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the outcome of future tax audits, examinations, or administrative appeals;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limitations or adverse findings regarding our ability to do business in some jurisdictions;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 xml:space="preserve">discrete impact tax items, including items resulting from the amount and timing of equity exercises and our stock price.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have an adverse effect on our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Certain U.S. state tax authorities may assert that we have a state nexus and seek to impose state and local taxes, which could adversely affect our results of operations.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We currently file tax returns in certain states. There is a risk that certain state tax authorities, where we do not currently file a tax return, could assert that we are liable for state and local taxes based on income or gross receipts allocable to such states. States are becoming increasingly aggressive in asserting a nexus for state tax purposes. We could be subject to state and local taxation, including penalties and interest attributable to prior periods, if a state tax authority where we do not currently file a state tax return successfully asserts that our activities give rise to a taxable nexus. Such tax assessments, penalties and interest may adversely affect our results of operations</w:t>
      </w:r>
      <w:r>
        <w:rPr>
          <w:rFonts w:ascii="Times New Roman;sans-serif" w:hAnsi="Times New Roman;sans-serif"/>
          <w:b w:val="false"/>
          <w:color w:val="000000"/>
          <w:sz w:val="20"/>
        </w:rPr>
        <w:t>.</w:t>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Our reported financial results may be adversely affected by changes in accounting principles generally accepted in the United States.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including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the notes to the consolidated financial statements of this Quarterly Report on Form 10-Q for additional information on recently issued but not yet adopted accounting standards.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If our estimates or judgments relating to our critical accounting policies prove to be incorrect, our results of operations could be adversely affected.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Relationships with Third Parties </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success is dependent upon our continued ability to maintain a selective Center of Excellence, our proprietary, credentialed network of high-quality fertility specialists. Fertility specialists and our other network providers could refuse to continue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contractual arrangements generally may be terminated or not renewed by either party without cause upon prior written notice. We cannot provide any assurance that we will be able to continue to renew our existing contracts or enter into new contracts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timely basis or under favorable terms enabling us to service our members in a profitable manner. If we are not successful in maintaining our relationships with top fertility specialists, they may refuse to renew their contracts with us, and potential competitors may be effective in onboarding these or other high-quality fertility specialists to create a similar high-quality network. Any of these events could have a material adverse effect on our operations and the provision of services to our members.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beyond our control, such as legal and regulatory changes, including changes in government enforcement priorities, impacting providers or consolidation activity among hospitals, physician groups and healthcare providers. In addition, in some markets and geographic areas,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as well as the competitive landscape. Such organizations or groups of healthcare providers may compete directly with us, which could force us to incur costs to change our business operations, adversely impact our relationships with our providers, or affect how we price our products and estimate our costs, all of which could adversely affect our results of operations, financial position, and cash flows.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our network providers may assert, or threaten to assert, claims seeking to terminate our contractual arrangements. If enough provider agreements are terminated, such terminations could adversely impact the adequacy of our network to service our members and adversely impact our ability to market our solutions.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perceived value of our solutions and our reputation may be negatively impacted if the services provided by one or more of our fertility specialists or another network healthcare provider are not satisfactory to our members, including as a result of provider error, which could result in litigation. For example, if a provider within our network experiences an issue with its cryopreservation techniques or releases sensitive member information, it could result in us incurring substantial additional expenses, expose us to public scrutiny, adversely affect our brand and reputation, expose us to litigation and/or regulatory action, and otherwise make our operations vulnerable. In addition, if a fertility specialist provides services that result in less than favorable outcomes, this could cause us to fail to meet our contractually guaranteed performance metrics, and we could be obligated to provide the affected client with a fee reduction. The failure to maintain our selective network of high-quality fertility specialists and other healthcare providers, or the failure of such providers to meet and exceed our members’ expectations, may result in a loss of or inability to grow or maintain our client base,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growth depends in part on the success of our strategic relationships with, and monitoring of, third parties, including channel partners and vendors, as well as insurance carriers.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grow our business, we anticipate that we will continue to depend on our relationships with third parties, including channel partners, vendors and insurance carriers, among others. As the fertility industry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our arrangements with such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an efficient pharmacy distribution network or if there is a disruption to our network of specialty pharmacies or their supply chains or business economics, our business, financial condition and results of operations could suffer.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timely delivery of fertility medication is essential for fertility treatments. If medication is delivered late or becomes unavailable, it may result in postponement of a member’s treatment cycle and member dissatisfaction with our solutions. We believe that our ability to continue to maintain and grow the adoption of Progyny Rx by our clients is highly dependent on our success in maintaining an efficient pharmacy distribution network and our on-time delivery record. The specialty pharmacies in our network could refuse to contract with us, demand higher drug pricing or take other actions in response to industry actions that could result in higher medical costs or less attractive services for our members thereby limiting our commercial opportunities.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specialty pharmacies could face supply chain issues or regulatory delays impacting the availability or distribution of certain fertility medication requiring drug substitutions that could result in higher medical costs or negatively impact our revenues, rebates and results of operations. We do not control the pricing strategies or supply chains of our specialty pharmacy partners, each of which may be impacted by general economic considerations, including inflation and other independent considerations and drivers beyond our control, and each of which has the ability to set or impact market price for different prescription medications. We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lose our relationship with one or more key pharmacy program partners, or if the rebates provided by pharmacy program partners decline, our business and results of operations could be adversely affected.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contractual relationships with select pharmacy program partners, which provide us access to limited distribution specialty pharmaceutical rebates for drugs we purchase. While we have contractual relationships with such pharmacy program partners, they in turn often negotiate complex, multi-national and multi-party pricing structures with other industry participants, and we have no control over the policies and strategies utilized in negotiating these pricing structures. Such structures may set or significantly impact market prices for prescription drugs that we purchase and the associated rebates for such drugs. Pharmacy program partners generally direct medication pricing by setting medication list prices and offering rebates and/or discounts for their medications. Various market considerations, such as the number of competitor medications, the availability of fertility medications and alternative treatment options, negotiated rates among industry participants, cost to import, and distribution of materials and finished products,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shortages of drugs provided by such manufacturers, the termination or material alteration of our contractual relationships, or our failure to renew such contracts on favorable terms could also have a material adverse effect on our business and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marketing efforts depend on our ability to maintain our relationships with benefits consultants and receive positive references from our existing clients, channel partners and benefit consultants.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benefits consultants, our marketing efforts, business and profitability would be adversely impacted.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efforts also depend significantly on our ability to call on our current clients, channel partners and benefits consultants to provide positive references to new, potential clients. Given our limited number of long-term clients, the loss or dissatisfaction of any client, channel partnership or benefit consulting relationship could substantially harm our brand and reputation, inhibit the adoption of our offering and impair our ability to attract new clients and retain existing clients. Any of these consequences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Legal and Regulatory Requirements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operate in a highly regulated industry and must comply with a significant number of new and evolving legal and regulatory requirements, as well as complex judicial mandates, which could have an adverse impact on our business.</w:t>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We have </w:t>
      </w:r>
      <w:r>
        <w:rPr>
          <w:rFonts w:ascii="Times New Roman;sans-serif" w:hAnsi="Times New Roman;sans-serif"/>
          <w:b w:val="false"/>
          <w:color w:val="000000"/>
          <w:sz w:val="20"/>
        </w:rPr>
        <w:t>structured</w:t>
      </w:r>
      <w:r>
        <w:rPr>
          <w:color w:val="000000"/>
          <w:shd w:fill="FFFFFF" w:val="clear"/>
        </w:rPr>
        <w:t xml:space="preserve"> </w:t>
      </w:r>
      <w:r>
        <w:rPr>
          <w:rFonts w:ascii="Times New Roman;sans-serif" w:hAnsi="Times New Roman;sans-serif"/>
          <w:b w:val="false"/>
          <w:color w:val="000000"/>
          <w:sz w:val="20"/>
          <w:shd w:fill="FFFFFF" w:val="clear"/>
        </w:rPr>
        <w:t>our operations to comply with</w:t>
      </w:r>
      <w:r>
        <w:rPr>
          <w:color w:val="000000"/>
        </w:rPr>
        <w:t xml:space="preserve"> </w:t>
      </w:r>
      <w:r>
        <w:rPr>
          <w:rFonts w:ascii="Times New Roman;sans-serif" w:hAnsi="Times New Roman;sans-serif"/>
          <w:b w:val="false"/>
          <w:color w:val="000000"/>
          <w:sz w:val="20"/>
        </w:rPr>
        <w:t>all</w:t>
      </w:r>
      <w:r>
        <w:rPr>
          <w:color w:val="000000"/>
          <w:shd w:fill="FFFFFF" w:val="clear"/>
        </w:rPr>
        <w:t xml:space="preserve"> </w:t>
      </w:r>
      <w:r>
        <w:rPr>
          <w:rFonts w:ascii="Times New Roman;sans-serif" w:hAnsi="Times New Roman;sans-serif"/>
          <w:b w:val="false"/>
          <w:color w:val="000000"/>
          <w:sz w:val="20"/>
          <w:shd w:fill="FFFFFF" w:val="clear"/>
        </w:rPr>
        <w:t xml:space="preserve">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w:t>
      </w:r>
      <w:r>
        <w:rPr>
          <w:rFonts w:ascii="Times New Roman;sans-serif" w:hAnsi="Times New Roman;sans-serif"/>
          <w:b w:val="false"/>
          <w:color w:val="000000"/>
          <w:sz w:val="20"/>
        </w:rPr>
        <w:t>Any changes in law or future determinations</w:t>
      </w:r>
      <w:r>
        <w:rPr>
          <w:color w:val="000000"/>
          <w:shd w:fill="FFFFFF" w:val="clear"/>
        </w:rPr>
        <w:t xml:space="preserve"> </w:t>
      </w:r>
      <w:r>
        <w:rPr>
          <w:rFonts w:ascii="Times New Roman;sans-serif" w:hAnsi="Times New Roman;sans-serif"/>
          <w:b w:val="false"/>
          <w:color w:val="000000"/>
          <w:sz w:val="20"/>
          <w:shd w:fill="FFFFFF" w:val="clear"/>
        </w:rPr>
        <w:t xml:space="preserve">by a court or agency that our corporate structure, solutions or services violate, or cause our clients or network partners to violate, applicable laws, regulations or other requirements could subject us or our clients to significant administrative, civil or criminal penalties. Such </w:t>
      </w:r>
      <w:r>
        <w:rPr>
          <w:rFonts w:ascii="Times New Roman;sans-serif" w:hAnsi="Times New Roman;sans-serif"/>
          <w:b w:val="false"/>
          <w:color w:val="000000"/>
          <w:sz w:val="20"/>
        </w:rPr>
        <w:t>changes may</w:t>
      </w:r>
      <w:r>
        <w:rPr>
          <w:color w:val="000000"/>
          <w:shd w:fill="FFFFFF" w:val="clear"/>
        </w:rPr>
        <w:t xml:space="preserve"> </w:t>
      </w:r>
      <w:r>
        <w:rPr>
          <w:rFonts w:ascii="Times New Roman;sans-serif" w:hAnsi="Times New Roman;sans-serif"/>
          <w:b w:val="false"/>
          <w:color w:val="000000"/>
          <w:sz w:val="20"/>
          <w:shd w:fill="FFFFFF" w:val="clear"/>
        </w:rPr>
        <w:t xml:space="preserve">also </w:t>
      </w:r>
      <w:r>
        <w:rPr>
          <w:rFonts w:ascii="Times New Roman;sans-serif" w:hAnsi="Times New Roman;sans-serif"/>
          <w:b w:val="false"/>
          <w:color w:val="000000"/>
          <w:sz w:val="20"/>
        </w:rPr>
        <w:t>impact our ability to offer our products in the same manner to our clients, which may require</w:t>
      </w:r>
      <w:r>
        <w:rPr>
          <w:color w:val="000000"/>
          <w:shd w:fill="FFFFFF" w:val="clear"/>
        </w:rPr>
        <w:t xml:space="preserve"> </w:t>
      </w:r>
      <w:r>
        <w:rPr>
          <w:rFonts w:ascii="Times New Roman;sans-serif" w:hAnsi="Times New Roman;sans-serif"/>
          <w:b w:val="false"/>
          <w:color w:val="000000"/>
          <w:sz w:val="20"/>
          <w:shd w:fill="FFFFFF" w:val="clear"/>
        </w:rPr>
        <w:t>us to change</w:t>
      </w:r>
      <w:r>
        <w:rPr>
          <w:rFonts w:ascii="Times New Roman;sans-serif" w:hAnsi="Times New Roman;sans-serif"/>
          <w:b w:val="false"/>
          <w:color w:val="000000"/>
          <w:sz w:val="20"/>
        </w:rPr>
        <w:t xml:space="preserve">, reduce, </w:t>
      </w:r>
      <w:r>
        <w:rPr>
          <w:rFonts w:ascii="Times New Roman;sans-serif" w:hAnsi="Times New Roman;sans-serif"/>
          <w:b w:val="false"/>
          <w:color w:val="000000"/>
          <w:sz w:val="20"/>
          <w:shd w:fill="FFFFFF" w:val="clear"/>
        </w:rPr>
        <w:t xml:space="preserve">or terminate portions of our business, disqualify us from serving clients in certain states or clients that do business with government entities, or to refund some or all of our service fees or otherwise compensate our clients.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unable to predict how new legislation, regulation, judicial action or executive action will ultimately impact the healthcare industry at large or our business and our relationships with existing and future clients, insurance carriers, and healthcare providers in particular. We also cannot predict the timing or impact of any future rule making, court decisions or other changes in law. If we are unable to comply with new laws and regulations or provide adequate assistance to our clients who may be subject to such laws or regulations, or if such changes impact our current business model and operations, we may be exposed to litigation or other government action and our business, financial condition and results of operations may be adversely impacted.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failure to comply with laws, regulations or other requirements could adversely affect demand for our solutions and force us to expend significant capital, research and development and other resources to address such failure. Even an unsuccessful challenge by regulatory, judicial and other authorities or parties could be expensive and time-consuming; could result in loss of business, exposure to negative publicity, and injury to our reputation; and could adversely affect our ability to retain and attract clients. If we fail to comply with applicable laws, regulations and other requirements, including, but not limited to the following, our business, financial condition and results of operations could be adversely affected and require significant investment to address, which may be costly. For more information on regulations affecting our business, see “Business—Government Regulation” in Part I, Item 1. Business of our Annual Report on Form 10-K.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Changes in State and Federal Laws Related to Reproductive Rights and Fertility Benefits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State and federal legislation has been adopted or proposed that would impact our business operations, products, and solutions. In the absence of overarching federal law, states are increasingly proposing or adopting laws that directly or indirectly impact our operations. We cannot predict which laws will ultimately be adopted, and whether, and to what extent, such laws will impact our ability to maintain our current operations. Such laws could have a material adverse effect on our business and results of operations. In addition, a patchwork of state laws and mandates could impact our ability to offer a uniform and streamlined benefit across states, which could reduce efficiency across our business operations and adversely impact our financial performance and our ability to grow in such states.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Licensing Requirements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Many states have licensure or registration requirements for entities acting as a TPA or PBM. We are licensed, are exempt from licensure or registration, or believe that we are otherwise authorized in the states where we provide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including monetary penalties and corrective action plans, the suspension of a license, or the loss of a license, all of which could negatively impact our business.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Certain states also impose licensing requirements on entities that provide utilization review services. We are licensed, are exempt from licensure or registration, or believe that we are otherwise authorized in the states where we provide utilization review services. However, we are unable to predict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help manage our compliance, and paying additional regulatory fees or penalties, which could adversely affect our results of operations. We may need to cease operations until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able to obtain appropriate licensure, which may adversely affect our revenue for a period of time that we cannot estimate.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In addition, </w:t>
      </w:r>
      <w:r>
        <w:rPr>
          <w:rFonts w:ascii="Times New Roman;sans-serif" w:hAnsi="Times New Roman;sans-serif"/>
          <w:b w:val="false"/>
          <w:color w:val="000000"/>
          <w:sz w:val="20"/>
          <w:shd w:fill="FFFFFF" w:val="clear"/>
        </w:rPr>
        <w:t>we employ PCAs to support and guide our members. Our PCAs do not provide any licensed healthcare services, and in turn, are not licensed by any regulatory body to provide such services. We otherwise do not employ individuals to provide any healthcare services requiring licensure. If a professional board in any state determines that the services provided by our PCAs require a license, we may need to conduct additional training and credentialing, replace personnel, obtain additional insurance, pay increased salaries, and suspend PCA services while our</w:t>
      </w:r>
      <w:r>
        <w:rPr>
          <w:color w:val="000000"/>
        </w:rPr>
        <w:t xml:space="preserve"> </w:t>
      </w:r>
      <w:r>
        <w:rPr>
          <w:rFonts w:ascii="Times New Roman;sans-serif" w:hAnsi="Times New Roman;sans-serif"/>
          <w:b w:val="false"/>
          <w:color w:val="000000"/>
          <w:sz w:val="20"/>
          <w:shd w:fill="FFFFFF" w:val="clear"/>
        </w:rPr>
        <w:t>personnel obtain the necessary licensure, which may adversely affect our results of operations, our relationships with our clients and members, and cause us to be in breach of our contractual arrangements.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HIPAA Privacy and Security Requirements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When acting as a “Business Associate” under HIPAA, to the extent permitted by applicable privacy regulations and our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If we, or any of our downstream Business Associates, are unable to properly protect the privacy and security of protected health information entrusted to us, we could be in breach of contractual arrangements with our clients and be subject to investigation by the OCR. In the event the OCR finds that we have failed to comply with applicable HIPAA privacy and security standards, we could face civil and criminal penalties.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OCR performs compliance audits of Covered Entities and Business Associates in order to proactively enforce the HIPAA privacy and security standards. The OCR has become an increasingly active regulator and has signaled its intention to continue this trend. The OCR has the discretion to impose penalties and may require companies to enter into resolution agreements and corrective action plans, which impose ongoing compliance requirements. The OCR enforcement activity, or a third-party audit related to a HIPAA incident regarding us or a downstream Business Associate, can result in financial liability and reputational harm, and responses to such enforcement activity can consume significant internal resources. In addition to enforcement by the OCR, state attorneys general are authorized to bring civil actions under either HIPAA or relevant state laws seeking either injunctions or damages in response to violations that threaten the privacy of state residents’ identifiable health information. Although we have implemented and maintain policies, processes and compliance program infrastructure to assist us in complying with HIPAA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may require us to make costly system purchases and/or modifications or otherwise divert significant resources to HIPAA compliance initiatives from time to time.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Data Privacy and Cybersecurity Requirements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In addition to HIPAA, </w:t>
      </w:r>
      <w:r>
        <w:rPr>
          <w:rFonts w:ascii="Times New Roman;sans-serif" w:hAnsi="Times New Roman;sans-serif"/>
          <w:b w:val="false"/>
          <w:color w:val="000000"/>
          <w:sz w:val="20"/>
          <w:shd w:fill="FFFFFF" w:val="clear"/>
        </w:rPr>
        <w:t>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The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investment in compliance and potential business process changes may be required. Similar laws have passed in other states and are continuing to be proposed at the state and federal level, reflecting a trend toward more stringent privacy legislation in the United States. Such laws could potentially impose conflicting requirements that would make compliance more challenging and could lead to additional liability. The enactment of such laws could have potentially conflicting requirements that would make compliance challenging and could lead to additional liability risks.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Certain of our solutions and services involve the transmission and storage of client and member data in various jurisdictions, which subjects the operation of those solutions and services to data privacy or data protection laws, rules and regulations in those jurisdictions. There can be no assurance that such requirements will not change or that we will not otherwise be subject to legal or regulatory actions. These laws, rules and regulations are rapidly evolving and changing and could have an adverse impact on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laws, rules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rules and regulations. An adverse outcome under any such investigation or audit could result in fines, penalties, other liability, adverse publicity or a loss of reputation, and adversely affect our business. Moreover, if these laws, rules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scope of operations.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Data Protection and Breaches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recent years, there have been a number of well-publicized data breaches involving the improper dissemination of personal information of individuals both within and outside of the healthcare industry. Laws in all 50 states require businesses to provide notice to individuals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HIPAA, Covered Entities must report breaches of unsecured protected health information to affected individuals without unreasonable delay, not to exceed 60 days following discovery of the breach by a Covered Entity or its agents. Notification also must be made to the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that the information has been compromised consistent with requirements enumerated in HIPAA.</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Despite our security management efforts with respect to physical and technical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or processing functions), are vulnerable to, and from time to time may experience, data breaches of confidential or proprietary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cybersecurity measures, some of which are managed by third-party vendors, or the cybersecurity measures of third parties with whom we work, including our service providers or vendors, are breached or fail, it is possible that unauthorized or illegal access to or acquisition, disclosure, use or processing of personally identifiable information, confidential information, or other sensitive client, member, or employee data, including HIPAA-regulated protected health information, may occur. A cybersecurity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our cybersecurity measures, or those of the third parties with whom we work, including our service providers or vendors, were to be breached or fail, our reputation could be severely damaged, adversely affecting client or investor confidence. As a result, clients may curtail their use of, or stop using our solutions, and our business may suffer. We could be subject to litigation, damages for breach of contract, penalties and regulatory actions for violations of HIPAA and other laws or regulations applicable to data privacy and data protection, as well as incur significant costs for remediation. In addition, any potential cybersecurity breach could result in increased costs associated with liability for stolen assets or information, repairing system damage that may have been caused by such breach,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providing coverage for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cybersecurity and privacy related damages and claim expenses, we may not carry insurance or maintain coverage sufficient to compensate for all liability, and such insurance may not be available for renewal on acceptable terms or at all. However, in any event, insurance coverage will not address the reputational damage that could result from a security breach.</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Consumer Protection Laws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Consumer protection laws require us to publish statements to users of our services that describe how we handle personal information and choices consumers may have about the way we handle personal information. If the information we publish is considered untrue, we may be subject to claims of unfair or deceptive trade practices, which could lead to significant liabilities and consequences, including, costs of defending against litigation or settling claims and loss of existing and future clients</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30"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ERISA Regulation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ERISA regulates certain aspects of employee health plans, including both insured and self-funded health plans sponsored by our clients. In addition, as part of our agreements with a number of our clients, we also offer PBM services through Progyny Rx. We believe that the conduct of our business vis-à-vis our clients’ plans is not of a fiduciary nature, and, therefore, we are not subject in general to the fiduciary obligations imposed by ERISA. However, there can be no assurance that the DOL, the agency that enforces ERISA, will not in the future assert that the fiduciary obligations imposed by ERISA apply to certain aspects of our operations or courts will not reach such a ruling in private ERISA litigation.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ERISA’s prohibitions on certain forms of remuneration made to, or received by, health plan service providers or other persons are broadly written, and their application to particular cases is uncertain. ERISA plans are subject to certain rules, published by the DOL, including reporting requirements for direct and indirect compensation received by health plan service providers. If the DOL or the courts interpret these requirements in a manner that is inconsistent with our business operations, we could be subject to civil or criminal liability.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Separately, although ERISA generally preempts state laws that would otherwise apply to ERISA plans, the recent Supreme Court ruling in </w:t>
      </w:r>
      <w:r>
        <w:rPr>
          <w:rFonts w:ascii="Times New Roman;sans-serif" w:hAnsi="Times New Roman;sans-serif"/>
          <w:b w:val="false"/>
          <w:i/>
          <w:color w:val="000000"/>
          <w:sz w:val="20"/>
        </w:rPr>
        <w:t>Rutledge v. Pharm. Care Mgmt. Ass’n</w:t>
      </w:r>
      <w:r>
        <w:rPr>
          <w:color w:val="000000"/>
          <w:shd w:fill="FFFFFF" w:val="clear"/>
        </w:rPr>
        <w:t xml:space="preserve"> </w:t>
      </w:r>
      <w:r>
        <w:rPr>
          <w:rFonts w:ascii="Times New Roman;sans-serif" w:hAnsi="Times New Roman;sans-serif"/>
          <w:b w:val="false"/>
          <w:color w:val="000000"/>
          <w:sz w:val="20"/>
          <w:shd w:fill="FFFFFF" w:val="clear"/>
        </w:rPr>
        <w:t>established that ERISA does not preempt all state laws imposing transparency or other requirements on PBMs. If the interpretation of ERISA preemption is further narrowed in the future, our contractual obligations with our self-insured clients would likely require us to comply more broadly with state laws applicable to health insurance that do not currently apply to us. This may adversely impact our ability to standardize our products, solutions, and services across states.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State Corporate Practice and Fee-Splitting Prohibitions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laws generally prohibit non-physician entities from practicing medicine, exercising control over physicians or engaging in certain practices such as fee-splitting with physicians. We have structured our operations and contracts with our network providers to comply with such laws. For example, our provider agreements explicitly recognize that providers retain sole authority for medical decision making. If a state’s corporate practice of medicine or fee-splitting laws are interpreted in a manner that is inconsistent with our contractual arrangements with our network providers, we could be required to restructure or terminate our contractual relationships with our network providers to comply with such laws; could be subject to disciplinary action, penalties, damages, and fines; and could experience a loss of revenue, any of which could have a material and adverse effect on our business, results of operations, and financial condition. In addition, this may discourage physicians from participating in our network of providers as these state laws often impose penalties on physicians, in their individual capacity, for aiding the corporate practice of medicine or unlawful fee-splitting.</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Restrictions on Communication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Communications with our members increasingly may be subject to and restricted by laws and regulations governing communications via telephone, fax, text, and email. We use email and social media platforms as marketing tools. For example, we maintain corporate social media accounts. As laws and regulations, including FTC enforcement, rapidly evolve to govern the use of these platforms and devices, the failure by us, our employees or third parties acting at our direction to abide by applicable laws and regulations in connection with the use of these platforms and devices could adversely impact our business, financial condition and results of operations or subject us to fines or other penalties</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are part of the broader healthcare industry and subject to increasing scrutiny and regulation within our business, including with respect to Progyny Rx’s PBM operations, which may adversely affect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be unclear. Because our clients are subject to various legal and regulatory requirements, we may have obligations to comply with additional legal and regulatory requirements as a result of our arrangements with our clients, even if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Federal and state efforts to reform or change aspects of the healthcare industry or to change </w:t>
      </w:r>
      <w:r>
        <w:rPr>
          <w:rFonts w:ascii="Times New Roman;sans-serif" w:hAnsi="Times New Roman;sans-serif"/>
          <w:b w:val="false"/>
          <w:color w:val="000000"/>
          <w:sz w:val="20"/>
          <w:shd w:fill="FFFFFF" w:val="clear"/>
        </w:rPr>
        <w:t xml:space="preserve">or create additional legal and regulatory requirements could impact our operations, the use of our solutions and services, and our ability to market new solutions and services, or could create unexpected liabilities for us.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PBM operations and business models are highly regulated and subject to frequently changing laws, regulations, government enforcement priorities, negative publicity, industry standards and other requirements. Recently, there have been a number of reform efforts focused on PBM regulation, program pricing, and transparency, from both federal and state legislatures and agencies, including, but not limited to, disclosure, receipt and retention of rebates and other payments received from pharmaceutical manufacturers or pharmacy program partners, rules governing contractual provisions between PBMs and their contracted payers and/or pharmacies, and registration or licensing of PBMs. If adopted, these proposals could affect our business by further restricting PBM practices critical to maintaining current levels of profitability or could impact our ability to meet future financial forecasts. For example, recently, the U.S. Senate and House of Representatives proposed a number of bills that would, among other things, require PBMs to submit information on their costs, fees and rebates; require 100% of the rebates to be passed on to consumers; and/or impose rebates on manufacturers that choose to increase their drug prices at a rate that exceeds the inflation rate. In July 2024, the FTC released its interim staff report on PBMs and the impact of PBM rebates and fees on patients and payers. </w:t>
      </w:r>
      <w:r>
        <w:rPr>
          <w:rFonts w:ascii="Times New Roman;sans-serif" w:hAnsi="Times New Roman;sans-serif"/>
          <w:b w:val="false"/>
          <w:color w:val="000000"/>
          <w:sz w:val="20"/>
        </w:rPr>
        <w:t>In September 2024, the FTC filed actions against certain PBMs related to their rebate practices.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The Supreme Court’s decision in </w:t>
      </w:r>
      <w:r>
        <w:rPr>
          <w:rFonts w:ascii="Times New Roman;sans-serif" w:hAnsi="Times New Roman;sans-serif"/>
          <w:b w:val="false"/>
          <w:i/>
          <w:color w:val="000000"/>
          <w:sz w:val="20"/>
        </w:rPr>
        <w:t xml:space="preserve">Rutledge v. Pharm. Care Mgmt. Ass’n </w:t>
      </w:r>
      <w:r>
        <w:rPr>
          <w:rFonts w:ascii="Times New Roman;sans-serif" w:hAnsi="Times New Roman;sans-serif"/>
          <w:b w:val="false"/>
          <w:color w:val="000000"/>
          <w:sz w:val="20"/>
          <w:shd w:fill="FFFFFF" w:val="clear"/>
        </w:rPr>
        <w:t xml:space="preserve">in December 2020 held that an Arkansas state law requiring PBMs to reimburse pharmacies at a price equal to or greater than the price pharmacies pay in purchasing medications from a wholesaler was not preempted by ERISA. The Supreme Court’s ruling solidifies the legality of state-level legislation regulating PBMs. New legislation aimed at controlling prescription drug costs and providing pricing transparency and regulatory oversight of PBMs has been enacted. At least 33 states have adopted some form of PBM oversight legislation. In certain states, PBMs are required to file transparency reports or otherwise disclose contractual arrangements with health plans or health insurance issuers and regulators have begun to conduct audits of PBM operations.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 third-party payor, including private insurers, self-insured employers and patients on a cash basis, and may be applicable to us.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Accordingly, our business operations and our results of operations could be materially and adversely affected by legislative, regulatory and public policy changes at the federal or state level, increased government involvement in drug reimbursement and pricing, and/or increased regulation of PBMs, including Progyny Rx. Such legal and regulatory changes may adversely affect our ability to conduct business on commercially reasonable terms in states where PBM legislation is in effect and our ability to standardize Progyny Rx PBM products and services across states. In addition, failure to comply with these laws or regulations could result in material fines and sanctions and could have a material adverse effect on our results of operations and cash flows.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404 of the Sarbanes-Oxley Act (“Section 404”), we are required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personnel with appropriate public company experience to assist us in ongoing compliance with these requirements. Moreover, these rules and regulations have increased, and will continue to increase, our legal and financial reporting compliance costs and will make some activities more time consuming and costly.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evaluation and testing process of our internal control, if we identify one or more material weaknesses in our internal control over financial reporting, we would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of financial reporting, which we determined was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anti-corruption, anti-bribery, anti-money laundering, and similar laws, and non-compliance with such laws can subject us to criminal or civil liability and harm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we operate primarily in the United States, we remain subject to the U.S. Foreign Corrupt Practices Act, U.S. domestic anti-bribery laws, and other anti-corruption and anti-money laundering laws in the countries in which we conduct activities. We may engage with business partners and third-party intermediaries to market our services and to obtain the necessary permits, licenses, and other regulatory approvals for us. In addition, we or our third-party intermediaries may have direct or indirect interactions with officials and employees of government agencies or state-owned or affiliated entities. We can be held liable for the corrupt or other illegal activities of such third-party intermediaries as well as our employees, representatives, contractors, partners and agents, even if we do not explicitly authorize such activities.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potential civil or criminal proceeding, our business, financial condition and results of operations could be harmed. In addition, responding to any action will likely result in a significant diversion of management’s attention and resources and significant defense costs and other professional fees, which could also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Changing rules and regulations regarding environmental, social and governance practices and reporting could cause us to incur additional costs, devote additional resources and expose us to additional risks, which could adversely impact our reputation, or otherwise adversely impact our business.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changing rules and regulations related to environmental, social and governance, or ESG, matters imposed by governmental and self-regulatory organizations, companies across all industries are facing increasing scrutiny related to their ESG practices and reporting. Our stakeholders may disagree with our ESG policies and goals or, conversely, believe that these policies and goals are insufficient. This may lead to a decrease in demand for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services or damage to our reputation. We may also incur additional costs and require additional resources as we evolve our strategy, practices and related disclosures with respect to these matters. The changing rules, regulations and stakeholder expectations with respect to these matters have resulted in, and are likely to continue to result in, increased general and administrative expenses and increased management time and attention aimed at complying with such rules and regulations and meeting such expectations.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related to ESG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In addition, statements about our ESG-related initiatives and goals, and progress against those goals, may be based on standards for measuring progress that are still developing and have not been harmonized, internal controls and processes that continue to evolve and assumptions that are subject to change in the future. We could be criticized for the scope or nature of such initiatives or goals or for any revisions to these goals. If our ESG-related data, processes and reporting are incomplete or inaccurate, our reputation, business, financial performance and growth could be adversely affected. In addition, in recent years, “anti-ESG” sentiment has gained momentum across the U.S., with several states, Congress, and most recently, the new U.S. presidential administration proposing or enacting “anti-ESG” policies, legislation, or initiatives or issuing related legal opinions, as well as executive actions in response to ESG-related initiatives in the private sector. Such anti-ESG-related policies, legislation, initiatives, litigation, legal opinions, and scrutiny could result in additional compliance obligations, becoming the subject of investigations and enforcement actions, or sustaining reputational harm.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stock price may experience volatility, and the value of our common stock may decline.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highly volatile and may fluctuate or decline substantially as a result of this and a variety of factors, some of which are beyond our control, including, but not limited to:</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high volume of direct sales into the market by large investors;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stock repurchases by us;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actual or anticipated fluctuations in our financial condition or results of operations;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publications of research or other reports about us or our industry, including those that may contain inaccurate or misleading information, financial estimates about us, or changes in recommendations or withdrawal of research coverage by securities analysts;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the pricing of our solutions and services;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our projected operating and financial results;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general economic, industry, political and market conditions;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laws or regulations applicable to our products and solutions;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announcements by us or our competitors of significant business developments, acquisitions, or new offerings;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significant data breaches affecting our company, provider clinics, third-party vendors or pharmacy network partners;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our involvement in litigation or threats of litigation against us;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future sales of our common stock by us or our stockholders;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senior management or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the trading volume of our common stock;</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war, incidents of terrorism, or responses to these events;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the anticipated future size and growth rate of our market.</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An active trading market for our common stock may not be sustained.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fund continuing operations through the sale of additional equity securities and may impair our ability to make strategic investments, including acquiring other companies or investing in technologies, using our equity as consideration.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experienced and may in the future experience fluctuations in our financial results, making it difficult to project future results, and if we fail to meet the expectations of securities analysts or investors with respect to our results of operations, our stock price and the value of your investment could decline.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in the past, and may in the future, fluctuate due to a variety of factors, many of which are beyond our control. As a result, our past results may not be indicative of our future performance. In addition to the other risks described herein, factors that may affect our results of operations include the following:</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fluctuations in demand for, or pricing of, our solutions;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level and mix of utilization of our solutions by members;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our ability to retain existing clients and attract new clients;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client expansion rates;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clients’ budgets and in the timing of their budget cycles and purchasing decisions;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our ability to control costs, including our operating expenses and healthcare costs;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the amount and timing of payment for operating expenses, particularly sales and marketing expenses;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the amount and timing of non-cash expenses, including stock-based compensation expense, goodwill impairments and other non-cash charges;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the amount and timing of costs associated with recruiting, training and integrating new employees and retaining and motivating existing employees;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general economic conditions, as well as economic conditions specifically affecting industries in which our clients operate;</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the impact of new accounting pronouncements;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changes in the competitive dynamics of our market, including consolidation among competitors or clients;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significant cybersecurity breaches of, technical difficulties with, or interruptions to, the delivery and use of our solutions and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our common stock in the public market, including in connection with financings, acquisitions, our equity incentive plan or otherwise, could cause the market price of our common stock to decline.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We expect to issue additional capital stock in the future, which will result in dilution to all other stockholders. We expect to continue to grant equity awards to our employees, directors and consultants under our equity incentive plans. We may also raise capital through equity financings in the future. As part of our growth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unfavorable or inaccurate research, about our business, the market price and trading volume of our common stock could decline.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market price and trading volume of our common stock is heavily influenced by analysts’ interpretation of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then our stock price would likely decline, and the trading volume of our common stock could decrease. We have experienced and may in the future experience analyst coverage reduction due to analysts leaving firms, changing firms or going on temporary leaves of absences. A reduction in analyst coverage, even if temporary, could lead to volatility in our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do not intend to pay dividends for the foreseeable future, and, as a result, your ability to receive a return on your investment will depend on appreciation in the price of our common stock.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charter documents and under Delaware law could make an acquisition of our company more difficult, limit attempts by our stockholders to replace or remove our current management and limit the market price of our common stock.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and second amended and restated bylaws may have the effect of delaying or preventing a change of control or changes in our management. Our amended and restated certificate of incorporation and second amended and restated bylaws include provisions that:</w:t>
      </w:r>
    </w:p>
    <w:p>
      <w:pPr>
        <w:pStyle w:val="TextBody"/>
        <w:bidi w:val="0"/>
        <w:spacing w:before="0" w:after="0"/>
        <w:ind w:left="0" w:right="0" w:firstLine="72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authorize our Board of Directors to issue, without further action by stockholders, shares of undesignated preferred stock with terms, rights, and preferences determined by our Board of Directors and which may be senior to our common stock;</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bidi w:val="0"/>
        <w:spacing w:before="0" w:after="0"/>
        <w:jc w:val="both"/>
        <w:rPr/>
      </w:pPr>
      <w:r>
        <w:rPr/>
      </w:r>
    </w:p>
    <w:p>
      <w:pPr>
        <w:pStyle w:val="TextBody"/>
        <w:bidi w:val="0"/>
        <w:spacing w:lineRule="auto" w:line="252" w:before="0" w:after="0"/>
        <w:ind w:left="0" w:right="0" w:hanging="36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chairperson of our Board of Directors, or our chief executive officer;</w:t>
      </w:r>
    </w:p>
    <w:p>
      <w:pPr>
        <w:pStyle w:val="TextBody"/>
        <w:bidi w:val="0"/>
        <w:spacing w:before="0" w:after="0"/>
        <w:jc w:val="left"/>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establish an advance notice procedure for stockholder proposals to be brought before an annual meeting, including proposed nominations of persons for election to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establish that our Board of Directors is divided into three classes, with each class serving three-year staggered terms;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provide that our directors may be removed for cause only upon the vote of at least 66 and 2/3% of our outstanding shares of voting stock;</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provide that vacancies on our Board of Directors may be filled only by a majority of directors then in office, even though less than a quorum; and</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require the approval of our Board of Directors or the holders of at least 66 and 2/3% of our outstanding shares of voting stock to amend our second amended and restated bylaws and certain provisions of our amended and restated certificate of incorporation.</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These provisions may frustrate or prevent any attempts by our stockholders to replace or remove our current management by making it more difficult for stockholders to replace members of our Board of Directors, which is responsible for appointing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or other change of control transaction</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certificate of incorporation designates the state courts in the State of Delaware or, if no state court located 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other employees.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second amended and restated bylaws; (4) any action or proceeding to interpret, apply, enforce or determine the validity of our amended and restated certificate of incorporation or our second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exclusive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exclusive forum provisions contained in our amended and restated certificate of incorporation to be inapplicable or unenforceable in an action, we may also incur costs associated with resolving such action in other jurisdictions.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Purchases of Equity Securities by the Issuer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Settlement of Equity Awards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restricted stock units are subject to vesting and the underlying shares of common stock are issued when the restricted stock units vest.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first quarter of 2025, we withheld shares through net settlements (where the award holder receives the net of the shares vested, after surrendering a portion of the shares back to the Company for tax withholding) for certain restricted stock units that vested.</w:t>
      </w:r>
    </w:p>
    <w:tbl>
      <w:tblPr>
        <w:tblW w:w="10205" w:type="dxa"/>
        <w:jc w:val="left"/>
        <w:tblInd w:w="0" w:type="dxa"/>
        <w:tblLayout w:type="fixed"/>
        <w:tblCellMar>
          <w:top w:w="28" w:type="dxa"/>
          <w:left w:w="28" w:type="dxa"/>
          <w:bottom w:w="28" w:type="dxa"/>
          <w:right w:w="28" w:type="dxa"/>
        </w:tblCellMar>
      </w:tblPr>
      <w:tblGrid>
        <w:gridCol w:w="782"/>
        <w:gridCol w:w="468"/>
        <w:gridCol w:w="475"/>
        <w:gridCol w:w="109"/>
        <w:gridCol w:w="109"/>
        <w:gridCol w:w="109"/>
        <w:gridCol w:w="500"/>
        <w:gridCol w:w="500"/>
        <w:gridCol w:w="502"/>
        <w:gridCol w:w="109"/>
        <w:gridCol w:w="109"/>
        <w:gridCol w:w="109"/>
        <w:gridCol w:w="536"/>
        <w:gridCol w:w="432"/>
        <w:gridCol w:w="278"/>
        <w:gridCol w:w="109"/>
        <w:gridCol w:w="109"/>
        <w:gridCol w:w="109"/>
        <w:gridCol w:w="735"/>
        <w:gridCol w:w="735"/>
        <w:gridCol w:w="738"/>
        <w:gridCol w:w="109"/>
        <w:gridCol w:w="109"/>
        <w:gridCol w:w="109"/>
        <w:gridCol w:w="983"/>
        <w:gridCol w:w="507"/>
        <w:gridCol w:w="726"/>
      </w:tblGrid>
      <w:tr>
        <w:trPr/>
        <w:tc>
          <w:tcPr>
            <w:tcW w:w="78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6"/>
              </w:rPr>
              <w:t xml:space="preserve">Total Number of Shares Repurchased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Maximum Dollar Amount of Shares That May Yet Be Purchased Under the Program </w:t>
              <w:br/>
              <w:t>(in thousands)</w:t>
            </w:r>
          </w:p>
        </w:tc>
      </w:tr>
      <w:tr>
        <w:trPr/>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through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through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through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88" w:before="240" w:after="283"/>
        <w:ind w:left="0" w:right="0" w:hanging="18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shd w:fill="FFFFFF" w:val="clear"/>
        </w:rPr>
        <w:t>Includes shares withheld on net settlements of restricted stock units that vested under our equity incentive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a.None.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b.None.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c.On March 31, 2025, Peter Anevski, our Chief Executive Officer, adopted a trading plan that is intended to satisfy the conditions under Rule 10b5-1(c) of the Exchange Act. Mr. Anevski’s trading plan is for the sale of up to 1,244,220 shares of the Company’s common stock in amounts and prices determined in accordance with a formula set forth in the plan. The plan terminates on the earlier of the date all shares under the plan are sold or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3"/>
        <w:gridCol w:w="250"/>
        <w:gridCol w:w="251"/>
        <w:gridCol w:w="109"/>
        <w:gridCol w:w="109"/>
        <w:gridCol w:w="109"/>
        <w:gridCol w:w="1470"/>
        <w:gridCol w:w="1362"/>
        <w:gridCol w:w="1366"/>
        <w:gridCol w:w="109"/>
        <w:gridCol w:w="109"/>
        <w:gridCol w:w="109"/>
        <w:gridCol w:w="170"/>
        <w:gridCol w:w="170"/>
        <w:gridCol w:w="171"/>
        <w:gridCol w:w="109"/>
        <w:gridCol w:w="109"/>
        <w:gridCol w:w="109"/>
        <w:gridCol w:w="173"/>
        <w:gridCol w:w="173"/>
        <w:gridCol w:w="174"/>
        <w:gridCol w:w="109"/>
        <w:gridCol w:w="109"/>
        <w:gridCol w:w="109"/>
        <w:gridCol w:w="210"/>
        <w:gridCol w:w="210"/>
        <w:gridCol w:w="211"/>
        <w:gridCol w:w="109"/>
        <w:gridCol w:w="109"/>
        <w:gridCol w:w="109"/>
        <w:gridCol w:w="175"/>
        <w:gridCol w:w="175"/>
        <w:gridCol w:w="176"/>
        <w:gridCol w:w="109"/>
        <w:gridCol w:w="109"/>
        <w:gridCol w:w="109"/>
        <w:gridCol w:w="312"/>
        <w:gridCol w:w="312"/>
        <w:gridCol w:w="449"/>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Filed/Furnished</w:t>
              <w:br/>
              <w:t>Herewith</w:t>
            </w:r>
          </w:p>
        </w:tc>
      </w:tr>
      <w:tr>
        <w:trPr/>
        <w:tc>
          <w:tcPr>
            <w:tcW w:w="7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hyperlink w:anchor="pgny-20250331xex101.htm">
              <w:r>
                <w:rPr>
                  <w:rStyle w:val="InternetLink"/>
                  <w:rFonts w:ascii="Times New Roman;sans-serif" w:hAnsi="Times New Roman;sans-serif"/>
                  <w:b w:val="false"/>
                  <w:color w:val="000080"/>
                  <w:sz w:val="20"/>
                  <w:u w:val="single"/>
                </w:rPr>
                <w:t>Progyny, Inc. Executive Severance Plan</w:t>
              </w:r>
            </w:hyperlink>
            <w:hyperlink w:anchor="pgny-20250331xex101.htm">
              <w:r>
                <w:rPr>
                  <w:rStyle w:val="InternetLink"/>
                  <w:rFonts w:ascii="Times New Roman;sans-serif" w:hAnsi="Times New Roman;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gny-20250331xex102.htm">
              <w:r>
                <w:rPr>
                  <w:rStyle w:val="InternetLink"/>
                  <w:rFonts w:ascii="Times New Roman;sans-serif" w:hAnsi="Times New Roman;sans-serif"/>
                  <w:b w:val="false"/>
                  <w:color w:val="0000FF"/>
                  <w:sz w:val="20"/>
                  <w:u w:val="single"/>
                </w:rPr>
                <w:t>Form of PSU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gny-20250331xex311.htm">
              <w:r>
                <w:rPr>
                  <w:rStyle w:val="InternetLink"/>
                  <w:rFonts w:ascii="Times New Roman;sans-serif" w:hAnsi="Times New Roman;sans-serif"/>
                  <w:b w:val="false"/>
                  <w:color w:val="0000FF"/>
                  <w:sz w:val="20"/>
                  <w:u w:val="single"/>
                </w:rPr>
                <w:t>Certification of Chief Executive Officer pursuant to Exchange Act Rule 13a-14(a).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gny-20250331xex312.htm">
              <w:r>
                <w:rPr>
                  <w:rStyle w:val="InternetLink"/>
                  <w:rFonts w:ascii="Times New Roman;sans-serif" w:hAnsi="Times New Roman;sans-serif"/>
                  <w:b w:val="false"/>
                  <w:color w:val="0000FF"/>
                  <w:sz w:val="20"/>
                  <w:u w:val="single"/>
                </w:rPr>
                <w:t>Certification of Chief Financial Officer pursuant to Exchange Act Rule 13a-14(a).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gny-20250331xex321.htm">
              <w:r>
                <w:rPr>
                  <w:rStyle w:val="InternetLink"/>
                  <w:rFonts w:ascii="Times New Roman;sans-serif" w:hAnsi="Times New Roman;sans-serif"/>
                  <w:b w:val="false"/>
                  <w:color w:val="000080"/>
                  <w:sz w:val="20"/>
                  <w:u w:val="single"/>
                </w:rPr>
                <w:t xml:space="preserve">Certification of </w:t>
              </w:r>
            </w:hyperlink>
            <w:hyperlink w:anchor="pgny-20250331xex321.htm">
              <w:r>
                <w:rPr>
                  <w:rStyle w:val="InternetLink"/>
                  <w:rFonts w:ascii="Times New Roman;sans-serif" w:hAnsi="Times New Roman;sans-serif"/>
                  <w:b w:val="false"/>
                  <w:color w:val="000080"/>
                  <w:sz w:val="20"/>
                  <w:u w:val="single"/>
                </w:rPr>
                <w:t>Chief</w:t>
              </w:r>
            </w:hyperlink>
            <w:hyperlink w:anchor="pgny-20250331xex321.htm">
              <w:r>
                <w:rPr>
                  <w:rStyle w:val="InternetLink"/>
                  <w:rFonts w:ascii="Times New Roman;sans-serif" w:hAnsi="Times New Roman;sans-serif"/>
                  <w:b w:val="false"/>
                  <w:color w:val="000080"/>
                  <w:sz w:val="20"/>
                  <w:u w:val="single"/>
                </w:rPr>
                <w:t xml:space="preserve"> Executive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pgny-20250331xex322.htm">
              <w:r>
                <w:rPr>
                  <w:rStyle w:val="InternetLink"/>
                  <w:rFonts w:ascii="Times New Roman;sans-serif" w:hAnsi="Times New Roman;sans-serif"/>
                  <w:b w:val="false"/>
                  <w:color w:val="0000FF"/>
                  <w:sz w:val="20"/>
                  <w:u w:val="single"/>
                </w:rPr>
                <w:t>Certification of Chief Financial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144" w:after="240"/>
        <w:jc w:val="left"/>
        <w:rPr/>
      </w:pPr>
      <w:hyperlink w:anchor="id9afbabdceed4c78b2e77c21e334c0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076" w:type="dxa"/>
        <w:jc w:val="left"/>
        <w:tblInd w:w="0" w:type="dxa"/>
        <w:tblLayout w:type="fixed"/>
        <w:tblCellMar>
          <w:top w:w="28" w:type="dxa"/>
          <w:left w:w="28" w:type="dxa"/>
          <w:bottom w:w="28" w:type="dxa"/>
          <w:right w:w="28" w:type="dxa"/>
        </w:tblCellMar>
      </w:tblPr>
      <w:tblGrid>
        <w:gridCol w:w="591"/>
        <w:gridCol w:w="520"/>
        <w:gridCol w:w="523"/>
        <w:gridCol w:w="191"/>
        <w:gridCol w:w="191"/>
        <w:gridCol w:w="191"/>
        <w:gridCol w:w="1129"/>
        <w:gridCol w:w="1129"/>
        <w:gridCol w:w="161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Progyny, Inc.</w:t>
            </w:r>
          </w:p>
          <w:p>
            <w:pPr>
              <w:pStyle w:val="TableContents"/>
              <w:bidi w:val="0"/>
              <w:spacing w:lineRule="auto" w:line="276" w:before="15" w:after="283"/>
              <w:jc w:val="left"/>
              <w:rPr/>
            </w:pPr>
            <w:r>
              <w:rPr>
                <w:rFonts w:ascii="Times New Roman;sans-serif" w:hAnsi="Times New Roman;sans-serif"/>
                <w:b w:val="false"/>
                <w:color w:val="000000"/>
                <w:sz w:val="20"/>
                <w:shd w:fill="FFFFFF" w:val="clear"/>
              </w:rPr>
              <w:t>(</w:t>
            </w:r>
            <w:r>
              <w:rPr>
                <w:rFonts w:ascii="Times New Roman;sans-serif" w:hAnsi="Times New Roman;sans-serif"/>
                <w:b/>
                <w:i/>
                <w:color w:val="000000"/>
                <w:sz w:val="20"/>
                <w:shd w:fill="FFFFFF" w:val="clear"/>
              </w:rPr>
              <w:t>Registrant</w:t>
            </w:r>
            <w:r>
              <w:rPr>
                <w:rFonts w:ascii="Times New Roman;sans-serif" w:hAnsi="Times New Roman;sans-serif"/>
                <w:b w:val="false"/>
                <w:color w:val="000000"/>
                <w:sz w:val="20"/>
                <w:shd w:fill="FFFFFF" w:val="clear"/>
              </w:rPr>
              <w:t>)</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Anevski</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Anevski</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Chief Executive Officer </w:t>
            </w:r>
          </w:p>
          <w:p>
            <w:pPr>
              <w:pStyle w:val="TableContents"/>
              <w:bidi w:val="0"/>
              <w:spacing w:lineRule="auto" w:line="276" w:before="15" w:after="283"/>
              <w:jc w:val="center"/>
              <w:rPr/>
            </w:pP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Principal Executive Officer</w:t>
            </w:r>
            <w:r>
              <w:rPr>
                <w:rFonts w:ascii="Times New Roman;sans-serif" w:hAnsi="Times New Roman;sans-serif"/>
                <w:b w:val="false"/>
                <w:color w:val="000000"/>
                <w:sz w:val="20"/>
                <w:shd w:fill="FFFFFF" w:val="clear"/>
              </w:rPr>
              <w:t>)</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Livingston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Livingston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Chief Financial Officer</w:t>
            </w:r>
          </w:p>
          <w:p>
            <w:pPr>
              <w:pStyle w:val="TableContents"/>
              <w:bidi w:val="0"/>
              <w:spacing w:lineRule="auto" w:line="276" w:before="15" w:after="283"/>
              <w:jc w:val="center"/>
              <w:rPr/>
            </w:pP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Principal Financial and Accounting Officer</w:t>
            </w:r>
            <w:r>
              <w:rPr>
                <w:rFonts w:ascii="Times New Roman;sans-serif" w:hAnsi="Times New Roman;sans-serif"/>
                <w:b w:val="false"/>
                <w:color w:val="000000"/>
                <w:sz w:val="20"/>
                <w:shd w:fill="FFFFFF" w:val="clear"/>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PROGYNY, INC.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EXECUTIVE SEVERANCE PLAN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Adopted May 2, 2025</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 INTRODUCTION AND ADMINISTRATION</w:t>
      </w:r>
    </w:p>
    <w:p>
      <w:pPr>
        <w:pStyle w:val="TextBody"/>
        <w:bidi w:val="0"/>
        <w:spacing w:before="0" w:after="0"/>
        <w:ind w:left="0" w:right="0" w:firstLine="72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1.1 </w:t>
      </w:r>
      <w:r>
        <w:rPr>
          <w:rFonts w:ascii="Times New Roman;sans-serif" w:hAnsi="Times New Roman;sans-serif"/>
          <w:b/>
          <w:color w:val="000000"/>
          <w:sz w:val="20"/>
          <w:u w:val="single"/>
        </w:rPr>
        <w:t>Purpose</w:t>
      </w:r>
      <w:r>
        <w:rPr>
          <w:rFonts w:ascii="Times New Roman;sans-serif" w:hAnsi="Times New Roman;sans-serif"/>
          <w:b w:val="false"/>
          <w:color w:val="000000"/>
          <w:sz w:val="20"/>
        </w:rPr>
        <w:t xml:space="preserve">. This Progyny, Inc. Executive Severance Plan (this </w:t>
      </w:r>
      <w:r>
        <w:rPr>
          <w:color w:val="000000"/>
        </w:rPr>
        <w:t>“</w:t>
      </w:r>
      <w:r>
        <w:rPr>
          <w:rFonts w:ascii="Times New Roman;sans-serif" w:hAnsi="Times New Roman;sans-serif"/>
          <w:b/>
          <w:color w:val="000000"/>
          <w:sz w:val="20"/>
        </w:rPr>
        <w:t>Plan”</w:t>
      </w:r>
      <w:r>
        <w:rPr>
          <w:rFonts w:ascii="Times New Roman;sans-serif" w:hAnsi="Times New Roman;sans-serif"/>
          <w:b w:val="false"/>
          <w:color w:val="000000"/>
          <w:sz w:val="20"/>
        </w:rPr>
        <w:t>) is being adopted pursuant to the authorization of the Committee for the benefit of certain executives of the Company. This Plan is intended to provide severance benefits to certain executives who experience a Qualifying Termination or a termination due to death or Disability.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Plan is an “employee benefit plan,” as defined in Section 3(3) of ERISA and qualifies as a “top-hat” plan for a select group of management or highly compensated employees within the meaning of Sections 201(2), 301(a)(3) and 401(a)(1) of ERISA. As a “severance pay arrangement” within the meaning of Section 3(2)(B)(i) of ERISA, the Plan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 2510.3-2(b).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1.2 </w:t>
      </w:r>
      <w:r>
        <w:rPr>
          <w:rFonts w:ascii="Times New Roman;sans-serif" w:hAnsi="Times New Roman;sans-serif"/>
          <w:b/>
          <w:color w:val="000000"/>
          <w:sz w:val="20"/>
          <w:u w:val="single"/>
        </w:rPr>
        <w:t>Administration</w:t>
      </w:r>
      <w:r>
        <w:rPr>
          <w:rFonts w:ascii="Times New Roman;sans-serif" w:hAnsi="Times New Roman;sans-serif"/>
          <w:b w:val="false"/>
          <w:color w:val="000000"/>
          <w:sz w:val="20"/>
        </w:rPr>
        <w:t>. Subject to Section 5.1 hereof, the Plan shall be interpreted, administered and operated by the Committee, which shall have complete authority, subject to the express provisions of the Plan, to interpret the Plan, and to make all other determinations necessary or advisable for the administration of the Plan. The Committee may delegate any of its duties hereunder to a subcommittee, or to such person or persons from time to time as it may designate (other than to any Participant in the Plan). All decisions, interpretations and other actions of the Committee (including with respect to whether a Qualifying Termination has occurred) shall be final, conclusive and binding on all parties who have an interest in the Plan.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II. DEFINITIONS AND CONSTRUCTION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2.1 </w:t>
      </w:r>
      <w:r>
        <w:rPr>
          <w:rFonts w:ascii="Times New Roman;sans-serif" w:hAnsi="Times New Roman;sans-serif"/>
          <w:b/>
          <w:color w:val="000000"/>
          <w:sz w:val="20"/>
          <w:u w:val="single"/>
        </w:rPr>
        <w:t>Definitions</w:t>
      </w:r>
      <w:r>
        <w:rPr>
          <w:rFonts w:ascii="Times New Roman;sans-serif" w:hAnsi="Times New Roman;sans-serif"/>
          <w:b w:val="false"/>
          <w:color w:val="000000"/>
          <w:sz w:val="20"/>
        </w:rPr>
        <w:t xml:space="preserve">. Where the following words and phrases appear in this Plan, they shall have the respective meanings set forth below, unless their context clearly indicates otherwise.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 </w:t>
      </w: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 xml:space="preserve">shall mean the Board of Directors of the Company.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(b) </w:t>
      </w:r>
      <w:r>
        <w:rPr>
          <w:color w:val="000000"/>
        </w:rPr>
        <w:t>“</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 xml:space="preserve">shall mean the Participant has engaged in one of more of the following: (i) commission of, conviction for, or guilty plea to, a felony or crime involving moral turpitude; (ii) a willful refusal by the Participant to comply with the lawful, material and reasonable instructions of the Company (or its subsidiaries), or to otherwise materially perform the Participant’s duties as lawfully and reasonably determined by the Company (or its subsidiaries), in each case that is not cured by the Participant (if such refusal is capable of being cured) within 15 days of written notice being given to the Participant of such refusal; (iii) any willful act or acts of dishonesty undertaken by the Participant and intended to result in Participant’s (or any other person’s) material gain or personal enrichment at the expense of the Company, its subsidiaries or any of its or their customers, partners, affiliates, or employees; (iv) any willful act of gross misconduct by you that is injurious to the Company or its subsidiaries; or (v) any material breach by the Participant of the Participant’s obligations under any agreement between Participant and the Company or its subsidiaries that is not cured by the Participant (if such breach is capable of being cured) within 15 days of written notice being given to the Participant of such breach.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(c) </w:t>
      </w:r>
      <w:r>
        <w:rPr>
          <w:color w:val="000000"/>
        </w:rPr>
        <w:t>“</w:t>
      </w:r>
      <w:r>
        <w:rPr>
          <w:rFonts w:ascii="Times New Roman;sans-serif" w:hAnsi="Times New Roman;sans-serif"/>
          <w:b/>
          <w:color w:val="000000"/>
          <w:sz w:val="20"/>
        </w:rPr>
        <w:t xml:space="preserve">Change of Control” </w:t>
      </w:r>
      <w:r>
        <w:rPr>
          <w:rFonts w:ascii="Times New Roman;sans-serif" w:hAnsi="Times New Roman;sans-serif"/>
          <w:b w:val="false"/>
          <w:color w:val="000000"/>
          <w:sz w:val="20"/>
        </w:rPr>
        <w:t>shall have the same meaning as such term is defined under the Equity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(d) </w:t>
      </w: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 xml:space="preserve">shall mean the Internal Revenue Code of 1986, as amended. </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0"/>
        </w:rPr>
        <w:t xml:space="preserve">(e) </w:t>
      </w:r>
      <w:r>
        <w:rPr>
          <w:color w:val="000000"/>
        </w:rPr>
        <w:t>“</w:t>
      </w:r>
      <w:r>
        <w:rPr>
          <w:rFonts w:ascii="Times New Roman;sans-serif" w:hAnsi="Times New Roman;sans-serif"/>
          <w:b/>
          <w:color w:val="000000"/>
          <w:sz w:val="20"/>
        </w:rPr>
        <w:t xml:space="preserve">Committee” </w:t>
      </w:r>
      <w:r>
        <w:rPr>
          <w:rFonts w:ascii="Times New Roman;sans-serif" w:hAnsi="Times New Roman;sans-serif"/>
          <w:b w:val="false"/>
          <w:color w:val="000000"/>
          <w:sz w:val="20"/>
        </w:rPr>
        <w:t>shall mean the Compensation Committee of the Board.</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(f) </w:t>
      </w:r>
      <w:r>
        <w:rPr>
          <w:color w:val="000000"/>
        </w:rPr>
        <w:t>“</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 xml:space="preserve">shall mean Progyny, Inc., a Delaware corporation, and shall include its successors and assigns.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(g) </w:t>
      </w:r>
      <w:r>
        <w:rPr>
          <w:color w:val="000000"/>
        </w:rPr>
        <w:t>“</w:t>
      </w:r>
      <w:r>
        <w:rPr>
          <w:rFonts w:ascii="Times New Roman;sans-serif" w:hAnsi="Times New Roman;sans-serif"/>
          <w:b/>
          <w:color w:val="000000"/>
          <w:sz w:val="20"/>
        </w:rPr>
        <w:t xml:space="preserve">Continuous Service” </w:t>
      </w:r>
      <w:r>
        <w:rPr>
          <w:rFonts w:ascii="Times New Roman;sans-serif" w:hAnsi="Times New Roman;sans-serif"/>
          <w:b w:val="false"/>
          <w:color w:val="000000"/>
          <w:sz w:val="20"/>
        </w:rPr>
        <w:t>shall have the same meaning as such term is defined under the Equity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(h) </w:t>
      </w:r>
      <w:r>
        <w:rPr>
          <w:color w:val="000000"/>
        </w:rPr>
        <w:t>“</w:t>
      </w:r>
      <w:r>
        <w:rPr>
          <w:rFonts w:ascii="Times New Roman;sans-serif" w:hAnsi="Times New Roman;sans-serif"/>
          <w:b/>
          <w:color w:val="000000"/>
          <w:sz w:val="20"/>
        </w:rPr>
        <w:t>Disability”</w:t>
      </w:r>
      <w:r>
        <w:rPr>
          <w:color w:val="000000"/>
        </w:rPr>
        <w:t xml:space="preserve"> </w:t>
      </w:r>
      <w:r>
        <w:rPr>
          <w:rFonts w:ascii="Times New Roman;sans-serif" w:hAnsi="Times New Roman;sans-serif"/>
          <w:b w:val="false"/>
          <w:color w:val="000000"/>
          <w:sz w:val="20"/>
        </w:rPr>
        <w:t xml:space="preserve">shall mean, with respect to a Participant, such Participant is unable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 22(e)(3) of the Code, and will be determined by the Board on the basis of such medical evidence as the Board deems warranted under the circumstances.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 </w:t>
      </w:r>
      <w:r>
        <w:rPr>
          <w:color w:val="000000"/>
        </w:rPr>
        <w:t>“</w:t>
      </w:r>
      <w:r>
        <w:rPr>
          <w:rFonts w:ascii="Times New Roman;sans-serif" w:hAnsi="Times New Roman;sans-serif"/>
          <w:b/>
          <w:color w:val="000000"/>
          <w:sz w:val="20"/>
        </w:rPr>
        <w:t>Employment Agreement”</w:t>
      </w:r>
      <w:r>
        <w:rPr>
          <w:color w:val="000000"/>
        </w:rPr>
        <w:t xml:space="preserve"> </w:t>
      </w:r>
      <w:r>
        <w:rPr>
          <w:rFonts w:ascii="Times New Roman;sans-serif" w:hAnsi="Times New Roman;sans-serif"/>
          <w:b w:val="false"/>
          <w:color w:val="000000"/>
          <w:sz w:val="20"/>
        </w:rPr>
        <w:t>shall mean an employment agreement or service contract agreement entered into between the Company and a Participant with respect to their employment with the Company, as such terms are in effect at the time of the adoption of this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(j) </w:t>
      </w:r>
      <w:r>
        <w:rPr>
          <w:color w:val="000000"/>
        </w:rPr>
        <w:t>“</w:t>
      </w:r>
      <w:r>
        <w:rPr>
          <w:rFonts w:ascii="Times New Roman;sans-serif" w:hAnsi="Times New Roman;sans-serif"/>
          <w:b/>
          <w:color w:val="000000"/>
          <w:sz w:val="20"/>
        </w:rPr>
        <w:t>Equity Plan”</w:t>
      </w:r>
      <w:r>
        <w:rPr>
          <w:color w:val="000000"/>
        </w:rPr>
        <w:t xml:space="preserve"> </w:t>
      </w:r>
      <w:r>
        <w:rPr>
          <w:rFonts w:ascii="Times New Roman;sans-serif" w:hAnsi="Times New Roman;sans-serif"/>
          <w:b w:val="false"/>
          <w:color w:val="000000"/>
          <w:sz w:val="20"/>
        </w:rPr>
        <w:t xml:space="preserve">shall mean the Progyny, Inc. 2019 Equity Incentive Plan or any successor equity incentive plan, as may be amended from time to time.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(k) </w:t>
      </w:r>
      <w:r>
        <w:rPr>
          <w:color w:val="000000"/>
        </w:rPr>
        <w:t>“</w:t>
      </w:r>
      <w:r>
        <w:rPr>
          <w:rFonts w:ascii="Times New Roman;sans-serif" w:hAnsi="Times New Roman;sans-serif"/>
          <w:b/>
          <w:color w:val="000000"/>
          <w:sz w:val="20"/>
        </w:rPr>
        <w:t xml:space="preserve">ERISA” </w:t>
      </w:r>
      <w:r>
        <w:rPr>
          <w:rFonts w:ascii="Times New Roman;sans-serif" w:hAnsi="Times New Roman;sans-serif"/>
          <w:b w:val="false"/>
          <w:color w:val="000000"/>
          <w:sz w:val="20"/>
        </w:rPr>
        <w:t>shall mean the Employee Retirement Income Security Act of 1974, as amended, and the regulations promulgated thereunder.</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(l) </w:t>
      </w:r>
      <w:r>
        <w:rPr>
          <w:color w:val="000000"/>
        </w:rPr>
        <w:t>“</w:t>
      </w:r>
      <w:r>
        <w:rPr>
          <w:rFonts w:ascii="Times New Roman;sans-serif" w:hAnsi="Times New Roman;sans-serif"/>
          <w:b/>
          <w:color w:val="000000"/>
          <w:sz w:val="20"/>
        </w:rPr>
        <w:t>Good Reason”</w:t>
      </w:r>
      <w:r>
        <w:rPr>
          <w:color w:val="000000"/>
        </w:rPr>
        <w:t xml:space="preserve"> </w:t>
      </w:r>
      <w:r>
        <w:rPr>
          <w:rFonts w:ascii="Times New Roman;sans-serif" w:hAnsi="Times New Roman;sans-serif"/>
          <w:b w:val="false"/>
          <w:color w:val="000000"/>
          <w:sz w:val="20"/>
        </w:rPr>
        <w:t xml:space="preserve">shall mean the occurrence of any of the following without the Participant’s prior written consent: (i) a material reduction in the Participant’s then-current annual base salary; except for a reduction (not to exceed 10%) that is part of a proportional reduction of the base salaries of all Company executives; (ii) relocation of the Participant’s principal place of employment to a place that increases the Participant’s one-way commute by more than thirty (30) miles compared to the Participant’s then-current principal place of employment immediately prior to such relocation; or (iii) a material and adverse change in the Participant’s duties and responsibilities (it being agreed that a change in duties and responsibilities following a Change of Control that is inherent in the Company becoming a part of a larger business organization shall not constitute a material adverse change); provided, however, that a resignation by the Participant shall not be considered to be for a “Good Reason” unless (1) the Participant provides written notice to the Board of the occurrence of the event that the Participant contends constitutes Good Reason within thirty (30) days after the date such event occurs, which notice states the Participant’s intention to resign for a “Good Reason” as a result thereof; (2) the Company does not effect a cure with respect to such event within thirty (30) days after receipt of such written notice; and (3) the Participant thereafter resigns and ceases to perform services as an employee of the Company within ten (10) days after the expiration of the Company’s cure period.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(m) </w:t>
      </w:r>
      <w:r>
        <w:rPr>
          <w:color w:val="000000"/>
        </w:rPr>
        <w:t>“</w:t>
      </w:r>
      <w:r>
        <w:rPr>
          <w:rFonts w:ascii="Times New Roman;sans-serif" w:hAnsi="Times New Roman;sans-serif"/>
          <w:b/>
          <w:color w:val="000000"/>
          <w:sz w:val="20"/>
        </w:rPr>
        <w:t>Participant”</w:t>
      </w:r>
      <w:r>
        <w:rPr>
          <w:color w:val="000000"/>
        </w:rPr>
        <w:t xml:space="preserve"> </w:t>
      </w:r>
      <w:r>
        <w:rPr>
          <w:rFonts w:ascii="Times New Roman;sans-serif" w:hAnsi="Times New Roman;sans-serif"/>
          <w:b w:val="false"/>
          <w:color w:val="000000"/>
          <w:sz w:val="20"/>
        </w:rPr>
        <w:t xml:space="preserve">shall mean each Company employee (i) with a title of Executive Vice President or higher, (ii) who is in one of the positions specified on </w:t>
      </w:r>
      <w:r>
        <w:rPr>
          <w:rFonts w:ascii="Times New Roman;sans-serif" w:hAnsi="Times New Roman;sans-serif"/>
          <w:b/>
          <w:color w:val="000000"/>
          <w:sz w:val="20"/>
          <w:u w:val="single"/>
        </w:rPr>
        <w:t>Exhibit A</w:t>
      </w:r>
      <w:r>
        <w:rPr>
          <w:rFonts w:ascii="Times New Roman;sans-serif" w:hAnsi="Times New Roman;sans-serif"/>
          <w:b w:val="false"/>
          <w:color w:val="000000"/>
          <w:sz w:val="20"/>
        </w:rPr>
        <w:t xml:space="preserve">, or (iii) who is selected by the Committee to participate in the Plan.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(n) </w:t>
      </w:r>
      <w:r>
        <w:rPr>
          <w:color w:val="000000"/>
        </w:rPr>
        <w:t>“</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shall mean the first regularly scheduled payroll date that occurs on or after the 60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day following the effective date of the Qualifying Termination.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 </w:t>
      </w:r>
      <w:r>
        <w:rPr>
          <w:color w:val="000000"/>
        </w:rPr>
        <w:t>“</w:t>
      </w:r>
      <w:r>
        <w:rPr>
          <w:rFonts w:ascii="Times New Roman;sans-serif" w:hAnsi="Times New Roman;sans-serif"/>
          <w:b/>
          <w:color w:val="000000"/>
          <w:sz w:val="20"/>
        </w:rPr>
        <w:t>Protection Period”</w:t>
      </w:r>
      <w:r>
        <w:rPr>
          <w:color w:val="000000"/>
        </w:rPr>
        <w:t xml:space="preserve"> </w:t>
      </w:r>
      <w:r>
        <w:rPr>
          <w:rFonts w:ascii="Times New Roman;sans-serif" w:hAnsi="Times New Roman;sans-serif"/>
          <w:b w:val="false"/>
          <w:color w:val="000000"/>
          <w:sz w:val="20"/>
        </w:rPr>
        <w:t xml:space="preserve">shall mean the period commencing one month before the consummation of a Change of Control and ending on the first anniversary of such Change of Control.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(p)</w:t>
      </w:r>
      <w:r>
        <w:rPr>
          <w:color w:val="000000"/>
        </w:rPr>
        <w:t xml:space="preserve"> “</w:t>
      </w:r>
      <w:r>
        <w:rPr>
          <w:rFonts w:ascii="Times New Roman;sans-serif" w:hAnsi="Times New Roman;sans-serif"/>
          <w:b/>
          <w:color w:val="000000"/>
          <w:sz w:val="20"/>
        </w:rPr>
        <w:t>Qualifying Termination”</w:t>
      </w:r>
      <w:r>
        <w:rPr>
          <w:color w:val="000000"/>
        </w:rPr>
        <w:t xml:space="preserve"> </w:t>
      </w:r>
      <w:r>
        <w:rPr>
          <w:rFonts w:ascii="Times New Roman;sans-serif" w:hAnsi="Times New Roman;sans-serif"/>
          <w:b w:val="false"/>
          <w:color w:val="000000"/>
          <w:sz w:val="20"/>
        </w:rPr>
        <w:t xml:space="preserve">shall mean a termination of the Participant’s employment by the Company without Cause, and not by reason of death or Disability, or a resignation by the Participant for Good Reason, in each case, after the completion of one year of Continuous Service with the Company.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(q)</w:t>
      </w:r>
      <w:r>
        <w:rPr>
          <w:color w:val="000000"/>
        </w:rPr>
        <w:t xml:space="preserve"> “</w:t>
      </w:r>
      <w:r>
        <w:rPr>
          <w:rFonts w:ascii="Times New Roman;sans-serif" w:hAnsi="Times New Roman;sans-serif"/>
          <w:b/>
          <w:color w:val="000000"/>
          <w:sz w:val="20"/>
        </w:rPr>
        <w:t>Section 409A”</w:t>
      </w:r>
      <w:r>
        <w:rPr>
          <w:color w:val="000000"/>
        </w:rPr>
        <w:t xml:space="preserve"> </w:t>
      </w:r>
      <w:r>
        <w:rPr>
          <w:rFonts w:ascii="Times New Roman;sans-serif" w:hAnsi="Times New Roman;sans-serif"/>
          <w:b w:val="false"/>
          <w:color w:val="000000"/>
          <w:sz w:val="20"/>
        </w:rPr>
        <w:t xml:space="preserve">shall mean Section 409A of the Code and the Department of Treasury rules and regulations issued thereunder.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(r) </w:t>
      </w:r>
      <w:r>
        <w:rPr>
          <w:color w:val="000000"/>
        </w:rPr>
        <w:t>“</w:t>
      </w:r>
      <w:r>
        <w:rPr>
          <w:rFonts w:ascii="Times New Roman;sans-serif" w:hAnsi="Times New Roman;sans-serif"/>
          <w:b/>
          <w:color w:val="000000"/>
          <w:sz w:val="20"/>
        </w:rPr>
        <w:t>Specified Employee”</w:t>
      </w:r>
      <w:r>
        <w:rPr>
          <w:color w:val="000000"/>
        </w:rPr>
        <w:t xml:space="preserve"> </w:t>
      </w:r>
      <w:r>
        <w:rPr>
          <w:rFonts w:ascii="Times New Roman;sans-serif" w:hAnsi="Times New Roman;sans-serif"/>
          <w:b w:val="false"/>
          <w:color w:val="000000"/>
          <w:sz w:val="20"/>
        </w:rPr>
        <w:t xml:space="preserve">shall mean a person who is, as of the date of the person’s termination of employment, a “specified employee” within the meaning of Section 409A, taking into account the elections made and procedures established by the Company. </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0"/>
        </w:rPr>
        <w:t xml:space="preserve">2.2 </w:t>
      </w:r>
      <w:r>
        <w:rPr>
          <w:rFonts w:ascii="Times New Roman;sans-serif" w:hAnsi="Times New Roman;sans-serif"/>
          <w:b/>
          <w:color w:val="000000"/>
          <w:sz w:val="20"/>
          <w:u w:val="single"/>
        </w:rPr>
        <w:t>Number</w:t>
      </w:r>
      <w:r>
        <w:rPr>
          <w:rFonts w:ascii="Times New Roman;sans-serif" w:hAnsi="Times New Roman;sans-serif"/>
          <w:b w:val="false"/>
          <w:color w:val="000000"/>
          <w:sz w:val="20"/>
        </w:rPr>
        <w:t xml:space="preserve">. Wherever appropriate herein, a word used in the singular shall be considered to include the plural and the plural to include the singular.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2.3 </w:t>
      </w:r>
      <w:r>
        <w:rPr>
          <w:rFonts w:ascii="Times New Roman;sans-serif" w:hAnsi="Times New Roman;sans-serif"/>
          <w:b/>
          <w:color w:val="000000"/>
          <w:sz w:val="20"/>
          <w:u w:val="single"/>
        </w:rPr>
        <w:t>Headings</w:t>
      </w:r>
      <w:r>
        <w:rPr>
          <w:rFonts w:ascii="Times New Roman;sans-serif" w:hAnsi="Times New Roman;sans-serif"/>
          <w:b w:val="false"/>
          <w:color w:val="000000"/>
          <w:sz w:val="20"/>
        </w:rPr>
        <w:t xml:space="preserve">. The headings of Articles and Sections herein are included solely for convenience and if there is any conflict between such headings and the text of this Plan, the text shall control.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III. SEVERANCE BENEFITS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3.1 </w:t>
      </w:r>
      <w:r>
        <w:rPr>
          <w:rFonts w:ascii="Times New Roman;sans-serif" w:hAnsi="Times New Roman;sans-serif"/>
          <w:b/>
          <w:color w:val="000000"/>
          <w:sz w:val="20"/>
          <w:u w:val="single"/>
        </w:rPr>
        <w:t>Payments and Benefits upon a Qualifying Termination (Unrelated to a Change of Control)</w:t>
      </w:r>
      <w:r>
        <w:rPr>
          <w:rFonts w:ascii="Times New Roman;sans-serif" w:hAnsi="Times New Roman;sans-serif"/>
          <w:b w:val="false"/>
          <w:color w:val="000000"/>
          <w:sz w:val="20"/>
        </w:rPr>
        <w:t xml:space="preserve">. Subject to the further provisions of this Article III and the Participant’s continued compliance with their obligations under Article IV hereof, upon a Participant’s Qualifying Termination that does not occur within the Protection Period: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 the Company shall pay or provide to the Participant the Participant’s unpaid base salary through the date of termination, any unreimbursed business expenses, and any amount arising from the Participant’s participation in, or benefits under, any employee benefit plans, programs or arrangements, which amounts shall be payable in accordance with the requirements of applicable law and the terms and conditions of such employee benefit plans, programs or arrangements (collectively, the </w:t>
      </w:r>
      <w:r>
        <w:rPr>
          <w:color w:val="000000"/>
        </w:rPr>
        <w:t>“</w:t>
      </w:r>
      <w:r>
        <w:rPr>
          <w:rFonts w:ascii="Times New Roman;sans-serif" w:hAnsi="Times New Roman;sans-serif"/>
          <w:b/>
          <w:color w:val="000000"/>
          <w:sz w:val="20"/>
        </w:rPr>
        <w:t>Accrued Benefits”</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the Company shall continue to pay to the Participant their base salary, as in effect immediately prior to the Qualifying Termination (or immediately prior to any event constituting Good Reason, if applicable), for twelve (12) months following such Qualifying Termination, which amount shall be payable in accordance with Section 5.9 and the normal payroll practices of the Company;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the Company shall pay to the Participant an amount in cash equal to the Participant’s target annual bonus for the year that includes the date of termination pro-rated to reflect the number of days that the Participant was employed by the Company and its subsidiaries during such calendar year, and which shall be payable on the Payment Date;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during the portion, if any, of the 12-month period commencing on the date of termination that the Participant properly elects continuation coverage for Participant and/or Participant’s eligible dependents under the Company’s or a subsidiary’s group health plans under the Consolidated Omnibus Budget Reconciliation Act of 1985, as amended (“COBRA”), the Company shall promptly reimburse the Participant on a monthly basis for the cost of such coverage.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the Participant, on the first day of each calendar month, a fully taxable cash payment equal to the applicable COBRA premiums for that month (including premiums for Participant and/or Participant’s eligible dependents who have elected and remain enrolled in such COBRA coverage), subject to applicable tax withholdings, for such 12-month period.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 acceleration of the vesting and exercisability (as applicable) of any outstanding unvested time-based equity awards held by the Participant to the extent such awards were scheduled to vest during the 12-month period immediately following the Qualifying Termination date; and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 acceleration of any outstanding performance-based equity awards held by the Participant shall 100% vest as of the Qualifying Termination date, unless otherwise provided in the applicable award agreement governing the terms of such performance-based equity award.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3.2 </w:t>
      </w:r>
      <w:r>
        <w:rPr>
          <w:rFonts w:ascii="Times New Roman;sans-serif" w:hAnsi="Times New Roman;sans-serif"/>
          <w:b/>
          <w:color w:val="000000"/>
          <w:sz w:val="20"/>
          <w:u w:val="single"/>
        </w:rPr>
        <w:t>Severance Benefits upon a Qualifying Termination (Related to a Change of Control)</w:t>
      </w:r>
      <w:r>
        <w:rPr>
          <w:rFonts w:ascii="Times New Roman;sans-serif" w:hAnsi="Times New Roman;sans-serif"/>
          <w:b w:val="false"/>
          <w:color w:val="000000"/>
          <w:sz w:val="20"/>
        </w:rPr>
        <w:t xml:space="preserve">. Subject to the further provisions of this Article III, upon a Participant’s Qualifying Termination that occurs within the Protection Period, the Participant shall receive all of the payments and benefits described in Section 3.1 above, except that the following payments shall be substituted for their respective counterparts in Sections 3.1(b), 3.1(e), and 3.1(f):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in lieu of any payment under Section 3.1(b), the Company shall pay to the Participant in a single lump sum on the Payment Date an amount in cash equal to the Participant’s annual base salary as in effect immediately prior to the Qualifying Termination date (or immediately prior to any event constituting Good Reason, if applicable);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in lieu of vesting acceleration under Section 3.1(e), each outstanding unvested time-based equity award held by the Participant shall vest in full as of the Qualifying Termination date; and</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in lieu of vesting acceleration under Section 3.1(f), each outstanding unvested performance-based equity award held by the Participant shall vest in full as of the Qualifying Termination date at the greater of (1) the target level of achievement of any applicable performance conditions or (2) the actual level of achievement of any applicable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performance conditions as of the Qualifying Termination date, unless otherwise provided in the applicable award agreement governing the terms of such performance-based equity award.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3.3 </w:t>
      </w:r>
      <w:r>
        <w:rPr>
          <w:rFonts w:ascii="Times New Roman;sans-serif" w:hAnsi="Times New Roman;sans-serif"/>
          <w:b/>
          <w:color w:val="000000"/>
          <w:sz w:val="20"/>
          <w:u w:val="single"/>
        </w:rPr>
        <w:t>Payments upon a Termination of Employment Due to Death or Disability</w:t>
      </w:r>
      <w:r>
        <w:rPr>
          <w:rFonts w:ascii="Times New Roman;sans-serif" w:hAnsi="Times New Roman;sans-serif"/>
          <w:b w:val="false"/>
          <w:color w:val="000000"/>
          <w:sz w:val="20"/>
        </w:rPr>
        <w:t xml:space="preserve">. Subject to the further provisions of this Article III, upon a Participant’s termination of employment with the Company due to death or Disability: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Company shall pay or provide to the Participant or their personal representative or estate, the Accrued Benefits;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each outstanding unvested equity award subject only to time-based vesting conditions held by the Participant shall vest and, as applicable, become exercisable in full as of the date of termination;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with respect to each outstanding unvested performance-based equity award held by the Participant, (i) any time-based service vesting conditions applicable to the award shall be deemed satisfied as of the date of termination, (ii)</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any portion of the award with respect to which the applicable performance period has already been completed as of the termination date, the award shall vest based on actual performance during the performance period, and (iii) with respect to any portion of the award with respect to which the applicable performance period has not been completed as of the termination date, the award shall vested based on the greater of (1) the target level of achievement of any applicable performance conditions or (2) the actual level of achievement of any applicable performance conditions as of the date of termination, unless otherwise provided in the applicable award agreement governing the terms of such performance-based equity award; and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any outstanding, vested and exercisable stock options held by the Participant as of the termination date shall remain exercisable for twelve (12) months following the termination date (provided that no stock option shall remain outstanding beyond the expiration of its original term).</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3.4 </w:t>
      </w:r>
      <w:r>
        <w:rPr>
          <w:rFonts w:ascii="Times New Roman;sans-serif" w:hAnsi="Times New Roman;sans-serif"/>
          <w:b/>
          <w:color w:val="000000"/>
          <w:sz w:val="20"/>
          <w:u w:val="single"/>
        </w:rPr>
        <w:t>Release and Full Settlement; Repayment Obligations</w:t>
      </w:r>
      <w:r>
        <w:rPr>
          <w:rFonts w:ascii="Times New Roman;sans-serif" w:hAnsi="Times New Roman;sans-serif"/>
          <w:b w:val="false"/>
          <w:color w:val="000000"/>
          <w:sz w:val="20"/>
        </w:rPr>
        <w:t>. Notwithstanding any provision of this Plan to the contrary, the payment of any amounts or provision of any benefits under Sections 3.1(b) through (f), 3.2(a) through 3.2(c), and 3.3(b) through 3.3(d) hereof (collectively, the “</w:t>
      </w:r>
      <w:r>
        <w:rPr>
          <w:rFonts w:ascii="Times New Roman;sans-serif" w:hAnsi="Times New Roman;sans-serif"/>
          <w:b/>
          <w:color w:val="000000"/>
          <w:sz w:val="20"/>
        </w:rPr>
        <w:t>Severance Benefits</w:t>
      </w:r>
      <w:r>
        <w:rPr>
          <w:color w:val="000000"/>
        </w:rPr>
        <w:t>”</w:t>
      </w:r>
      <w:r>
        <w:rPr>
          <w:rFonts w:ascii="Times New Roman;sans-serif" w:hAnsi="Times New Roman;sans-serif"/>
          <w:b w:val="false"/>
          <w:color w:val="000000"/>
          <w:sz w:val="20"/>
        </w:rPr>
        <w:t>) shall be subject to the Participant’s (or, if applicable, their personal representative’s or estate’s) execution, within forty-five (45) days following receipt (or such shorter period as set forth in such release), of a waiver and general release of claims in the form provided by the Company, and such waiver and general release of claims becoming effective and irrevocable in accordance with its terms within sixty (60) days following the date of termination. Furthermore, the payment of any amounts or provision of any benefits under Sections 3.1(b) through (f) and 3.2(a) through (c) hereof shall be subject to the Participant’s continued compliance with their obligations under Article IV hereof, and, in the event of any breach of such obligations by the Participant, the Participant agrees to promptly repay the Company the gross amount or value of any payments or benefits provided under Sections 3.1(b) through (f) and 3.2(a) through (c). The Company shall be entitled to recover any costs or attorneys’ fees arising out of or in connection with any breach by the Participant or enforcement action relating to Participant’s obligations under Article IV hereof.</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20"/>
        </w:rPr>
        <w:t xml:space="preserve">3.5 </w:t>
      </w:r>
      <w:r>
        <w:rPr>
          <w:rFonts w:ascii="Times New Roman;sans-serif" w:hAnsi="Times New Roman;sans-serif"/>
          <w:b/>
          <w:color w:val="000000"/>
          <w:sz w:val="20"/>
          <w:u w:val="single"/>
        </w:rPr>
        <w:t>Parachute Payments</w:t>
      </w:r>
      <w:r>
        <w:rPr>
          <w:rFonts w:ascii="Times New Roman;sans-serif" w:hAnsi="Times New Roman;sans-serif"/>
          <w:b w:val="false"/>
          <w:color w:val="000000"/>
          <w:sz w:val="20"/>
        </w:rPr>
        <w:t xml:space="preserve">. Notwithstanding anything to the contrary herein, if a Participant is a “disqualified individual” (as defined in Section 280G(c) of the Code), and the Severance Benefits, together with any other payments or benefits that the Participant has the right to receive from the Company, would constitute a “parachute payment” (as defined in Section 280G(b)(2) of the Code), then the Severance Benefits provided hereunder shall be either (a) reduced (but not below zero) so that the present value of such total amounts received by the Participant from the Company will be one dollar ($1.00) less than three times the Participant’s “base amount” (as defined in Section 280G(b)(3) of the Code) and so that no portion of such amounts received by the Participant shall be subject to the excise tax imposed by Section 4999 of the Code, or (b) paid in full, whichever produces the better net after-tax position to the Participant (taking into account any applicable excise tax under Section 4999 of the Code and any applicable income tax). The determination as to whether any such reduction in the amount of the Severance Benefits is necessary shall be made by the Committee in good faith and any such reduction shall be implemented in a manner consistent with the requirements of Section 409A of the Code. If a reduced cash payment is made and through error or otherwise that payment, when aggregated with other payments or benefits from the Company (or its affiliates) used in determining if a “parachute payment” exists, exceeds one dollar ($1.00) less than three times the Participant’s base amount, the Participant shall immediately repay such excess to the Company upon notification that an overpayment has been made. Nothing in this Section 3.5 shall require the Company to be responsible for, or have any liability or obligation with respect to, any Participant’s excise tax liabilities under Section 4999 of the Code.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3.6 </w:t>
      </w:r>
      <w:r>
        <w:rPr>
          <w:rFonts w:ascii="Times New Roman;sans-serif" w:hAnsi="Times New Roman;sans-serif"/>
          <w:b/>
          <w:color w:val="000000"/>
          <w:sz w:val="20"/>
          <w:u w:val="single"/>
        </w:rPr>
        <w:t>Coordination with Certain Other Agreements</w:t>
      </w:r>
      <w:r>
        <w:rPr>
          <w:rFonts w:ascii="Times New Roman;sans-serif" w:hAnsi="Times New Roman;sans-serif"/>
          <w:b w:val="false"/>
          <w:color w:val="000000"/>
          <w:sz w:val="20"/>
        </w:rPr>
        <w:t>. Participants who entered into Employment Agreements prior to the initial adoption of this Plan in 2024 will receive, with respect to each component of the severance benefits, the greater of (i) the severance benefit arising under the terms of such Participant’s Employment Agreement or (ii) the applicable Severance Benefit set forth herein. Unless otherwise approved by the Committee or except as set forth herein, the benefits under and participation in this Plan are intended to supersede and replace the severance and separation benefits that a Participant may be entitled under any other plan, policy, agreement or arrangement. For the avoidance of doubt, nothing in this Plan will entitle any Participant to receive duplicate benefits in connection with any Qualifying Termination.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3.7 </w:t>
      </w:r>
      <w:r>
        <w:rPr>
          <w:rFonts w:ascii="Times New Roman;sans-serif" w:hAnsi="Times New Roman;sans-serif"/>
          <w:b/>
          <w:color w:val="000000"/>
          <w:sz w:val="20"/>
          <w:u w:val="single"/>
        </w:rPr>
        <w:t>No Mitigation</w:t>
      </w:r>
      <w:r>
        <w:rPr>
          <w:rFonts w:ascii="Times New Roman;sans-serif" w:hAnsi="Times New Roman;sans-serif"/>
          <w:b w:val="false"/>
          <w:color w:val="000000"/>
          <w:sz w:val="20"/>
        </w:rPr>
        <w:t xml:space="preserve">. A Participant shall not be required to mitigate the amount of any payment or benefit provided for in this Article III by seeking other employment or otherwise, nor shall the amount of any payment or benefit provided for in this Article III be reduced by any compensation or benefit earned by the Participant as the result of employment by another employer.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IV. RESTRICTIVE COVENANTS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Participant’s right to receive and/or retain Severance Benefits payable under this Plan is conditioned upon and subject to the Participant’s continued compliance with any restrictive covenants (e.g., confidentiality, non-solicitation, non-competition, non-disparagement) contained in any other written agreement between the Participant and the Company and/or its subsidiaries, as in effect on the date of the Participant’s Qualifying Termination.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V. GENERAL PROVISIONS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5.1 </w:t>
      </w:r>
      <w:r>
        <w:rPr>
          <w:rFonts w:ascii="Times New Roman;sans-serif" w:hAnsi="Times New Roman;sans-serif"/>
          <w:b/>
          <w:color w:val="000000"/>
          <w:sz w:val="20"/>
          <w:u w:val="single"/>
        </w:rPr>
        <w:t>Termination and Amendment</w:t>
      </w:r>
      <w:r>
        <w:rPr>
          <w:rFonts w:ascii="Times New Roman;sans-serif" w:hAnsi="Times New Roman;sans-serif"/>
          <w:b w:val="false"/>
          <w:color w:val="000000"/>
          <w:sz w:val="20"/>
        </w:rPr>
        <w:t xml:space="preserve">. This Plan may be amended from time to time or terminated at the discretion of the Board or the Committee; provided, however, that the Plan may not be terminated or amended during the twelve (12) months immediately following a Change of Control except in the event the payments and benefits provided under the Plan to the Participants are replaced with severance payments and benefits that are more favorable to the Participants or the Plan is amended to increase the severance payments and benefits provided to the Participants under the Plan.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5.2 </w:t>
      </w:r>
      <w:r>
        <w:rPr>
          <w:rFonts w:ascii="Times New Roman;sans-serif" w:hAnsi="Times New Roman;sans-serif"/>
          <w:b/>
          <w:color w:val="000000"/>
          <w:sz w:val="20"/>
          <w:u w:val="single"/>
        </w:rPr>
        <w:t>Funding; Cost of Plan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 payments and benefits provided herein shall be unfunded and shall be provided from the Company’s general assets. No Participant shall have any right to, or interest in, any assets of the Company that may be applied by the Company to the payment of amounts due hereunder.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5.3 </w:t>
      </w:r>
      <w:r>
        <w:rPr>
          <w:rFonts w:ascii="Times New Roman;sans-serif" w:hAnsi="Times New Roman;sans-serif"/>
          <w:b/>
          <w:color w:val="000000"/>
          <w:sz w:val="20"/>
          <w:u w:val="single"/>
        </w:rPr>
        <w:t>Claims Procedure</w:t>
      </w:r>
      <w:r>
        <w:rPr>
          <w:rFonts w:ascii="Times New Roman;sans-serif" w:hAnsi="Times New Roman;sans-serif"/>
          <w:b w:val="false"/>
          <w:color w:val="000000"/>
          <w:sz w:val="20"/>
        </w:rPr>
        <w:t xml:space="preserve">. The Committee has adopted procedures for considering claims (which are set forth in </w:t>
      </w:r>
      <w:r>
        <w:rPr>
          <w:rFonts w:ascii="Times New Roman;sans-serif" w:hAnsi="Times New Roman;sans-serif"/>
          <w:b/>
          <w:color w:val="000000"/>
          <w:sz w:val="20"/>
          <w:u w:val="single"/>
        </w:rPr>
        <w:t>Exhibit B</w:t>
      </w:r>
      <w:r>
        <w:rPr>
          <w:color w:val="000000"/>
        </w:rPr>
        <w:t xml:space="preserve"> </w:t>
      </w:r>
      <w:r>
        <w:rPr>
          <w:rFonts w:ascii="Times New Roman;sans-serif" w:hAnsi="Times New Roman;sans-serif"/>
          <w:b w:val="false"/>
          <w:color w:val="000000"/>
          <w:sz w:val="20"/>
        </w:rPr>
        <w:t>attached hereto), which it may amend or modify from time to time, in its discretion. These procedures shall comply with all applicable legal requirements. These procedures may provide that final and binding arbitration shall be the ultimate means of contesting a denied claim (even if the Committee or its delegates have failed to follow the prescribed procedures with respect to such claim). The right to receive payments and benefits under the Plan is contingent on a Participant using the prescribed claims and arbitration procedures to resolve any claim.</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5.4 </w:t>
      </w:r>
      <w:r>
        <w:rPr>
          <w:rFonts w:ascii="Times New Roman;sans-serif" w:hAnsi="Times New Roman;sans-serif"/>
          <w:b/>
          <w:color w:val="000000"/>
          <w:sz w:val="20"/>
          <w:u w:val="single"/>
        </w:rPr>
        <w:t>Nonalienation; Successors</w:t>
      </w:r>
      <w:r>
        <w:rPr>
          <w:rFonts w:ascii="Times New Roman;sans-serif" w:hAnsi="Times New Roman;sans-serif"/>
          <w:b w:val="false"/>
          <w:color w:val="000000"/>
          <w:sz w:val="20"/>
        </w:rPr>
        <w:t>. This Plan shall be binding upon the Company and any successor of the Company, by merger, consolidation, acquisition or similar transaction, and shall inure to the benefit of and be enforceable by the Company’s Participants. The Participants shall not have any right to pledge, hypothecate, anticipate or assign benefits or rights under this Plan, except by will or the laws of descent and distribution.</w:t>
      </w:r>
      <w:r>
        <w:rPr>
          <w:color w:val="000000"/>
        </w:rPr>
        <w:t xml:space="preserve"> </w:t>
      </w:r>
      <w:r>
        <w:rPr>
          <w:rFonts w:ascii="Times New Roman;sans-serif" w:hAnsi="Times New Roman;sans-serif"/>
          <w:b w:val="false"/>
          <w:color w:val="000000"/>
          <w:sz w:val="20"/>
        </w:rPr>
        <w:t xml:space="preserve">A Participant’s rights and interests hereunder shall inure to the benefit of and be enforceable by the Participant’s personal representative.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5.5</w:t>
      </w:r>
      <w:r>
        <w:rPr>
          <w:color w:val="000000"/>
        </w:rPr>
        <w:t xml:space="preserve"> </w:t>
      </w:r>
      <w:r>
        <w:rPr>
          <w:rFonts w:ascii="Times New Roman;sans-serif" w:hAnsi="Times New Roman;sans-serif"/>
          <w:b/>
          <w:color w:val="000000"/>
          <w:sz w:val="20"/>
          <w:u w:val="single"/>
        </w:rPr>
        <w:t>No Contract of Employment</w:t>
      </w:r>
      <w:r>
        <w:rPr>
          <w:rFonts w:ascii="Times New Roman;sans-serif" w:hAnsi="Times New Roman;sans-serif"/>
          <w:b w:val="false"/>
          <w:color w:val="000000"/>
          <w:sz w:val="20"/>
        </w:rPr>
        <w:t xml:space="preserve">. The adoption and maintenance of this Plan shall not be deemed to be a contract of employment between the Company and any person or to be consideration for the employment of any person. Nothing herein contained shall be deemed to (a) give any person the right to be retained in the employ of the Company, (b) restrict the right of the Company to discharge any person at any time, (c) give the Company the right to require any person to remain in the employ of the Company, or (d) restrict any person’s right to terminate their employment at any time.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5.6 </w:t>
      </w:r>
      <w:r>
        <w:rPr>
          <w:rFonts w:ascii="Times New Roman;sans-serif" w:hAnsi="Times New Roman;sans-serif"/>
          <w:b/>
          <w:color w:val="000000"/>
          <w:sz w:val="20"/>
          <w:u w:val="single"/>
        </w:rPr>
        <w:t>Withholding</w:t>
      </w:r>
      <w:r>
        <w:rPr>
          <w:rFonts w:ascii="Times New Roman;sans-serif" w:hAnsi="Times New Roman;sans-serif"/>
          <w:b w:val="false"/>
          <w:color w:val="000000"/>
          <w:sz w:val="20"/>
        </w:rPr>
        <w:t xml:space="preserve">. Any benefits or amounts paid or provided pursuant to this Plan shall be subject to all applicable taxes and withholdings.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5.7 </w:t>
      </w:r>
      <w:r>
        <w:rPr>
          <w:rFonts w:ascii="Times New Roman;sans-serif" w:hAnsi="Times New Roman;sans-serif"/>
          <w:b/>
          <w:color w:val="000000"/>
          <w:sz w:val="20"/>
          <w:u w:val="single"/>
        </w:rPr>
        <w:t>Severability</w:t>
      </w:r>
      <w:r>
        <w:rPr>
          <w:rFonts w:ascii="Times New Roman;sans-serif" w:hAnsi="Times New Roman;sans-serif"/>
          <w:b w:val="false"/>
          <w:color w:val="000000"/>
          <w:sz w:val="20"/>
        </w:rPr>
        <w:t xml:space="preserve">. Any provision in this Plan that is prohibited or unenforceable in any jurisdiction by reason of applicable law shall, as to such jurisdiction, be 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5.8 </w:t>
      </w:r>
      <w:r>
        <w:rPr>
          <w:rFonts w:ascii="Times New Roman;sans-serif" w:hAnsi="Times New Roman;sans-serif"/>
          <w:b/>
          <w:color w:val="000000"/>
          <w:sz w:val="20"/>
          <w:u w:val="single"/>
        </w:rPr>
        <w:t>Compliance with Section 409A</w:t>
      </w:r>
      <w:r>
        <w:rPr>
          <w:rFonts w:ascii="Times New Roman;sans-serif" w:hAnsi="Times New Roman;sans-serif"/>
          <w:b w:val="false"/>
          <w:color w:val="000000"/>
          <w:sz w:val="20"/>
        </w:rPr>
        <w:t>. To the maximum extent permitted by applicable law, amounts payable under this Plan are intended to be exempt from Section 409A or in compliance with the requirements of Section 409A, and this Plan shall be administered accordingly. No amounts payable under this Plan that constitute a “deferral of compensation” within the meaning of Section 409A shall be payable unless the Participant’s termination of employment constitutes a “separation from service” within the meaning of Treas. Reg. § 1.409A-1(h). Each payment under this Plan is intended to be a “separate payment” and not a series of payments for purposes of Section 409A. F</w:t>
      </w:r>
      <w:r>
        <w:rPr>
          <w:rFonts w:ascii="Times New Roman;sans-serif" w:hAnsi="Times New Roman;sans-serif"/>
          <w:b w:val="false"/>
          <w:color w:val="000000"/>
          <w:sz w:val="20"/>
          <w:shd w:fill="FFFFFF" w:val="clear"/>
        </w:rPr>
        <w:t xml:space="preserve">or purposes of Section 409A, the Participant’s right to receive installment payments pursuant to this Plan shall be treated as a right to receive a series of separate and distinct payments. </w:t>
      </w:r>
      <w:r>
        <w:rPr>
          <w:rFonts w:ascii="Times New Roman;sans-serif" w:hAnsi="Times New Roman;sans-serif"/>
          <w:b w:val="false"/>
          <w:color w:val="000000"/>
          <w:sz w:val="20"/>
        </w:rPr>
        <w:t>Any payments or reimbursements of any expenses provided for under this Plan shall be made in accordance with Treas. Reg. § 1.409A-3(i)(1)(iv).</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5.9</w:t>
      </w:r>
      <w:r>
        <w:rPr>
          <w:color w:val="000000"/>
          <w:u w:val="single"/>
        </w:rPr>
        <w:t xml:space="preserve"> </w:t>
      </w:r>
      <w:r>
        <w:rPr>
          <w:rFonts w:ascii="Times New Roman;sans-serif" w:hAnsi="Times New Roman;sans-serif"/>
          <w:b/>
          <w:color w:val="000000"/>
          <w:sz w:val="20"/>
          <w:u w:val="single"/>
        </w:rPr>
        <w:t>Six-Month Payment Delay</w:t>
      </w:r>
      <w:r>
        <w:rPr>
          <w:rFonts w:ascii="Times New Roman;sans-serif" w:hAnsi="Times New Roman;sans-serif"/>
          <w:b w:val="false"/>
          <w:color w:val="000000"/>
          <w:sz w:val="20"/>
        </w:rPr>
        <w:t>. Except as set forth in the following sentence, any payments pursuant to Sections 3.1(b) through (f), 3.2(a) through 3.2(c), and 3.3(b) through 3.3(d) hereof that would otherwise be payable in the first sixty (60) days following the date of termination shall be withheld and become payable in a lump sum on the Payment Date. However, if the Participant is a Specified Employee, any payments hereunder that constitute a “deferral of compensation” within the meaning of Section 409A and to which the Participant would otherwise be entitled to receive during the first six (6) months following the date of termination shall be accumulated and paid to the Participant on the date that is six months following the date of termination (or if earlier, to the Participant’s estate or personal representative upon the Participant’s death).</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5.10 </w:t>
      </w:r>
      <w:r>
        <w:rPr>
          <w:rFonts w:ascii="Times New Roman;sans-serif" w:hAnsi="Times New Roman;sans-serif"/>
          <w:b/>
          <w:color w:val="000000"/>
          <w:sz w:val="20"/>
          <w:u w:val="single"/>
        </w:rPr>
        <w:t>Governing Law</w:t>
      </w:r>
      <w:r>
        <w:rPr>
          <w:rFonts w:ascii="Times New Roman;sans-serif" w:hAnsi="Times New Roman;sans-serif"/>
          <w:b w:val="false"/>
          <w:color w:val="000000"/>
          <w:sz w:val="20"/>
        </w:rPr>
        <w:t>. The Plan is intended to be an unfunded “top hat” plan within the meaning of U.S. Department of Labor Regulation Section 2520.104-23 and shall be interpreted, administered, and enforced as such in accordance with ERISA. To the extent that state law is applicable, the statutes and common law of the State of New York, excluding any that mandate the use of another jurisdiction’s laws, will apply.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5.11 </w:t>
      </w:r>
      <w:r>
        <w:rPr>
          <w:rFonts w:ascii="Times New Roman;sans-serif" w:hAnsi="Times New Roman;sans-serif"/>
          <w:b/>
          <w:color w:val="000000"/>
          <w:sz w:val="20"/>
          <w:u w:val="single"/>
        </w:rPr>
        <w:t>Clawback Policy</w:t>
      </w:r>
      <w:r>
        <w:rPr>
          <w:rFonts w:ascii="Times New Roman;sans-serif" w:hAnsi="Times New Roman;sans-serif"/>
          <w:b w:val="false"/>
          <w:color w:val="000000"/>
          <w:sz w:val="20"/>
        </w:rPr>
        <w:t>. All Severance Benefits provided under the Plan will be subject to recoupment in accordance with the Company’s clawback policy, as may be amended by the Company from time to time.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A </w:t>
      </w:r>
    </w:p>
    <w:p>
      <w:pPr>
        <w:pStyle w:val="TextBody"/>
        <w:bidi w:val="0"/>
        <w:spacing w:before="0" w:after="0"/>
        <w:jc w:val="center"/>
        <w:rPr/>
      </w:pPr>
      <w:r>
        <w:rPr/>
      </w:r>
    </w:p>
    <w:tbl>
      <w:tblPr>
        <w:tblW w:w="4125" w:type="dxa"/>
        <w:jc w:val="left"/>
        <w:tblInd w:w="0" w:type="dxa"/>
        <w:tblLayout w:type="fixed"/>
        <w:tblCellMar>
          <w:top w:w="28" w:type="dxa"/>
          <w:left w:w="28" w:type="dxa"/>
          <w:bottom w:w="28" w:type="dxa"/>
          <w:right w:w="28" w:type="dxa"/>
        </w:tblCellMar>
      </w:tblPr>
      <w:tblGrid>
        <w:gridCol w:w="1320"/>
        <w:gridCol w:w="1160"/>
        <w:gridCol w:w="1645"/>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Commercial Officer</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Medical Officer</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Operations Officer </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Human Resources Officer</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Marketing Officer</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Development Officer</w:t>
            </w:r>
          </w:p>
        </w:tc>
      </w:tr>
      <w:tr>
        <w:trPr/>
        <w:tc>
          <w:tcPr>
            <w:tcW w:w="41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Emerging Technology</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3D3D3D"/>
          <w:sz w:val="20"/>
          <w:u w:val="single"/>
        </w:rPr>
      </w:pPr>
      <w:r>
        <w:rPr>
          <w:rFonts w:ascii="Times New Roman;sans-serif" w:hAnsi="Times New Roman;sans-serif"/>
          <w:b/>
          <w:color w:val="3D3D3D"/>
          <w:sz w:val="20"/>
          <w:u w:val="single"/>
        </w:rPr>
        <w:t>EXHIBIT B</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DETAILED CLAIMS PROCEDURES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1.</w:t>
      </w:r>
      <w:r>
        <w:rPr>
          <w:rFonts w:ascii="Times New Roman;sans-serif" w:hAnsi="Times New Roman;sans-serif"/>
          <w:b/>
          <w:color w:val="000000"/>
          <w:sz w:val="20"/>
        </w:rPr>
        <w:t>Initial Claims.</w:t>
      </w:r>
      <w:r>
        <w:rPr>
          <w:color w:val="000000"/>
        </w:rPr>
        <w:t xml:space="preserve"> </w:t>
      </w:r>
      <w:r>
        <w:rPr>
          <w:rFonts w:ascii="Times New Roman;sans-serif" w:hAnsi="Times New Roman;sans-serif"/>
          <w:b w:val="false"/>
          <w:color w:val="000000"/>
          <w:sz w:val="20"/>
        </w:rPr>
        <w:t>A Participant who believes that they are eligible for a payment under the Plan that has not been received may submit a written claim for benefits to the Plan within sixty (60) days after the Participant’s Qualifying Termination. Claims should be addressed and sent to:</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PROGYNY, INC.</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ATTN: Cassandra Pratt</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1359 Broadway, 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Floor</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York, New York 10018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If the Participant’s claim is denied, in whole or in part, the Participant will be furnished with written notice of the denial within ninety (90) days after the Committee’s receipt of the Participant’s written claim (45 days if the claim relates to a Plan determination of Disability (a </w:t>
      </w:r>
      <w:r>
        <w:rPr>
          <w:color w:val="000000"/>
        </w:rPr>
        <w:t>“</w:t>
      </w:r>
      <w:r>
        <w:rPr>
          <w:rFonts w:ascii="Times New Roman;sans-serif" w:hAnsi="Times New Roman;sans-serif"/>
          <w:b/>
          <w:color w:val="000000"/>
          <w:sz w:val="20"/>
        </w:rPr>
        <w:t>Disability Claim”</w:t>
      </w:r>
      <w:r>
        <w:rPr>
          <w:rFonts w:ascii="Times New Roman;sans-serif" w:hAnsi="Times New Roman;sans-serif"/>
          <w:b w:val="false"/>
          <w:color w:val="000000"/>
          <w:sz w:val="20"/>
        </w:rPr>
        <w:t>)), unless special circumstances require an extension of time for processing the claim, in which case a period not to exceed 180 days will apply (30-day extension for a Disability Claim). If such an extension of time is required, written notice of the extension will be furnished to the Participant before the termination of the initial 90-day period (45-day period for a Disability Claim) and will describe the special circumstances requiring the extension and the date that a decision is expected to be rendered. In the case of a Disability Claim, the Committee may further extend the period for making a determination by up to an additional 30 days if, prior to the end of the first 30-day extension period, the Committee determines that such an additional extension is necessary due to matters beyond the control of the Plan and notifies Participant of the circumstances requiring an extension of time and the date by which the Committee expects to render a decision. Written notice of the denial of the Participant’s claim will contain the following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specific reason or reasons for the denial of the Participant’s claim;</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references to the specific Plan provisions on which the denial of the Participant’s claim was based;</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 description of any additional information or material required by the Committee to reconsider the Participant’s claim (to the extent applicable) and an explanation of why such information or material is necessary; and</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a description of the Plan’s review procedures and time limits applicable to such procedures, including a statement of the Participant’s right to bring a civil action under Section 502(a) of ERISA following a benefit claim denial on review.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2.</w:t>
      </w:r>
      <w:r>
        <w:rPr>
          <w:color w:val="000000"/>
        </w:rPr>
        <w:t>    </w:t>
      </w:r>
      <w:r>
        <w:rPr>
          <w:rFonts w:ascii="Times New Roman;sans-serif" w:hAnsi="Times New Roman;sans-serif"/>
          <w:b/>
          <w:color w:val="000000"/>
          <w:sz w:val="20"/>
        </w:rPr>
        <w:t>Appeal of Denied Claims.</w:t>
      </w:r>
      <w:r>
        <w:rPr>
          <w:color w:val="000000"/>
        </w:rPr>
        <w:t xml:space="preserve"> </w:t>
      </w:r>
      <w:r>
        <w:rPr>
          <w:rFonts w:ascii="Times New Roman;sans-serif" w:hAnsi="Times New Roman;sans-serif"/>
          <w:b w:val="false"/>
          <w:color w:val="000000"/>
          <w:sz w:val="20"/>
        </w:rPr>
        <w:t>If the Participant’s claim is denied and they wish to submit a request for a review of the denied claim, the Participant or their authorized representative must follow the procedures described below:</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Upon receipt of the denied claim, the Participant (or their authorized representative) may file a request for review of the claim in writing with the Committee. This request for review must be filed no later than sixty (60) days (180 days in the case of a Disability Claim) after the Participant has received written notification of the denial.</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Participant has the right to submit in writing to the Committee any comments, documents, records or other information relating to their claim for benefits.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The Participant has the right to be provided with, upon request and free of charge, reasonable access to and copies of all pertinent documents, records, and other information that is relevant to their claim for benefits.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The review of the denied claim will take into account all comments, documents, records and other information that the Participant submitted relating to their claim, without regard to whether such information was submitted or considered in the initial denial of their claim.</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color w:val="000000"/>
          <w:sz w:val="20"/>
        </w:rPr>
        <w:t>3.</w:t>
      </w:r>
      <w:r>
        <w:rPr>
          <w:color w:val="000000"/>
        </w:rPr>
        <w:t>    </w:t>
      </w:r>
      <w:r>
        <w:rPr>
          <w:rFonts w:ascii="Times New Roman;sans-serif" w:hAnsi="Times New Roman;sans-serif"/>
          <w:b/>
          <w:color w:val="000000"/>
          <w:sz w:val="20"/>
        </w:rPr>
        <w:t>Committee’s Response to Appeal.</w:t>
      </w:r>
      <w:r>
        <w:rPr>
          <w:color w:val="000000"/>
        </w:rPr>
        <w:t xml:space="preserve"> </w:t>
      </w:r>
      <w:r>
        <w:rPr>
          <w:rFonts w:ascii="Times New Roman;sans-serif" w:hAnsi="Times New Roman;sans-serif"/>
          <w:b w:val="false"/>
          <w:color w:val="000000"/>
          <w:sz w:val="20"/>
        </w:rPr>
        <w:t>The Committee will provide the Participant with written notice of its decision within sixty (60) days (45 days for a Disability Claim) after the Committee’s receipt of the Participant’s written claim for review. There may be special circumstances that require an extension of this 60-day period. In any such case, the Committee will notify the Participant in writing within the 60-day (45 days for a Disability Claim) period and the final decision will be made no later than 120 days (90 days for a Disability Claim) after the Committee’s receipt of the Participant’s written claim for review. The Committee’s decision on the Participant’s claim for review will be communicated to the Participant in writing and will clearly state:</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specific reason or reasons for the denial of the Participant’s claim;</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reference to the specific Plan provisions on which the denial of the Participant’s claim was based;</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 statement that the Participant is entitled to receive, upon request and free of charge, reasonable access to, and copies of, the Plan and all documents, records, and other information relevant to their claim for benefits; and</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a statement describing the Participant’s right to bring an action under Section 502(a) of ERISA.</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for Disability Claims, the following additional rules will apply: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Notice to Participant of any extension of the 45-day period for initial determination must include the circumstances requiring the extension and the date as of which a decision is expected, with a specific explanation of the standards on which entitlement to a disability benefit are based, the unresolved issues preventing a decision on the Disability Claim and the information needed to resolve those issues, and must give Participant 45 days to provide any information requested.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In addition to the information provided with respect to other claims, the notification of denial of a Disability Claim must include the following:</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 discussion of the decision, including an explanation of the basis for disagreeing with or not following the views presented by Participant to the Plan of health care professionals who are treating the Participant and vocational professionals who have evaluated the Participant; medical or vocational experts whose advice was obtained on behalf of the Plan in connection with the Disability Claim, without regard to whether the advice was relied on in making the determination; and any disability determination made by the Social Security Administration presented to the Plan by Participant.</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Either the specific internal rules, guidelines, protocols, standards or other similar criteria of the Plan relied on in making the decision, or a statement that such rules, guidelines, protocols, standards or other similar criteria of the Plan do not exist.</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 statement that Participant may request, free of charge, reasonable access to and copies of all documents, records and other information relevant to the Disability Claim.</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Subsequent review of any decision denying a Disability Claim must be conducted by an independent and impartial fiduciary not involved in the initial determination. Participant shall be notified in writing no later than 45 days after receipt of a request for a review. This 45-day period may be extended for an additional 45 days if special circumstances require the extension. Before the Plan can issue an adverse determination on appeal, Participant shall be provided, free of charge, with any new or additional evidence considered, relied on or generated by the Committee as Plan administrator or other person making the benefit determination (or at the direction of the Committee or such other person) in connection with the Disability Claim. Such evidence shall be provided to Participant as soon as possible and sufficiently before the deadline for the notice of adverse determination to give Participant a reasonable opportunity to respond. Before the Plan can issue an adverse determination on appeal based on new or additional rationale, Participant shall be provided, free of charge, with such rationale. The rationale will be provided as soon as possible and sufficiently before the deadline for the notice of adverse determination to give Participant a reasonable opportunity to respond.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 In addition to the information provided for all other claims on appeal, the notice of determination of a Disability Claim appeal must include an explanation of the basis for disagreeing with or not following the views presented by Participant of health care professionals treating the Participant and vocational professionals who evaluated the Participant, the views of medical or vocational experts whose advice was obtained on behalf of the Committee (regardless of whether the advice was relied upon), and any disability determination of the Social Security Administration presented by Participant to the Committee. The notice also shall include either the specific internal rules, guidelines, protocols, standards or other similar criteria relied on in making the decision or a statement that no such rules, guidelines, protocols, standards or other similar criteria exist, and a statement informing Participant of their right to bring a civil suit under federal law (and a description of the Plan’s limitation period for doing so, if any).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4.</w:t>
      </w:r>
      <w:r>
        <w:rPr>
          <w:color w:val="000000"/>
        </w:rPr>
        <w:t>    </w:t>
      </w:r>
      <w:r>
        <w:rPr>
          <w:rFonts w:ascii="Times New Roman;sans-serif" w:hAnsi="Times New Roman;sans-serif"/>
          <w:b/>
          <w:color w:val="000000"/>
          <w:sz w:val="20"/>
        </w:rPr>
        <w:t>Exhaustion of Administrative Remedies.</w:t>
      </w:r>
      <w:r>
        <w:rPr>
          <w:color w:val="000000"/>
        </w:rPr>
        <w:t xml:space="preserve"> </w:t>
      </w:r>
      <w:r>
        <w:rPr>
          <w:rFonts w:ascii="Times New Roman;sans-serif" w:hAnsi="Times New Roman;sans-serif"/>
          <w:b w:val="false"/>
          <w:color w:val="000000"/>
          <w:sz w:val="20"/>
        </w:rPr>
        <w:t>The exhaustion of these claims procedures is mandatory for resolving every claim and dispute arising under the Plan. As to such claims and disputes: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in any such legal action, all explicit and implicit determinations by the Committee (including, but not limited to, determinations as to whether the claim, or a request for a review of a denied claim, was timely filed) shall be afforded the maximum deference permitted by law.</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5. Arbitration.</w:t>
      </w:r>
      <w:r>
        <w:rPr>
          <w:color w:val="000000"/>
        </w:rPr>
        <w:t xml:space="preserve"> </w:t>
      </w:r>
      <w:r>
        <w:rPr>
          <w:rFonts w:ascii="Times New Roman;sans-serif" w:hAnsi="Times New Roman;sans-serif"/>
          <w:b w:val="false"/>
          <w:color w:val="000000"/>
          <w:sz w:val="20"/>
        </w:rPr>
        <w:t xml:space="preserve">Subject to Section 4 of this </w:t>
      </w:r>
      <w:r>
        <w:rPr>
          <w:rFonts w:ascii="Times New Roman;sans-serif" w:hAnsi="Times New Roman;sans-serif"/>
          <w:b/>
          <w:color w:val="000000"/>
          <w:sz w:val="20"/>
          <w:u w:val="single"/>
        </w:rPr>
        <w:t>Exhibit B</w:t>
      </w:r>
      <w:r>
        <w:rPr>
          <w:rFonts w:ascii="Times New Roman;sans-serif" w:hAnsi="Times New Roman;sans-serif"/>
          <w:b w:val="false"/>
          <w:color w:val="000000"/>
          <w:sz w:val="20"/>
        </w:rPr>
        <w:t>, any dispute, controversy or claim arising out of or related to the Plan shall be submitted to and decided by binding arbitration. Arbitration shall be administered exclusively by JAMS, Inc. and shall be conducted consistent with the rules, regulations and requirements thereof as well as any requirements imposed by state law. Any arbitral award determination shall be final and binding.</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color w:val="000000"/>
          <w:sz w:val="20"/>
        </w:rPr>
        <w:t>6. Attorney’s Fees.</w:t>
      </w:r>
      <w:r>
        <w:rPr>
          <w:color w:val="000000"/>
        </w:rPr>
        <w:t xml:space="preserve"> </w:t>
      </w:r>
      <w:r>
        <w:rPr>
          <w:rFonts w:ascii="Times New Roman;sans-serif" w:hAnsi="Times New Roman;sans-serif"/>
          <w:b w:val="false"/>
          <w:color w:val="000000"/>
          <w:sz w:val="20"/>
        </w:rPr>
        <w:t>The Company and each Participant shall bear their own attorneys’ fees incurred in connection with any claim disputes between them.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PROGYNY, INC.</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PSU AWARD GRANT NOTICE </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(2019 EQUITY INCENTIVE PLAN)</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2"/>
        </w:rPr>
        <w:t>Pursuant to this PSU Award Grant Notice (the “</w:t>
      </w:r>
      <w:r>
        <w:rPr>
          <w:rFonts w:ascii="Times New Roman;sans-serif" w:hAnsi="Times New Roman;sans-serif"/>
          <w:b/>
          <w:color w:val="000000"/>
          <w:sz w:val="22"/>
        </w:rPr>
        <w:t>Grant Notice</w:t>
      </w:r>
      <w:r>
        <w:rPr>
          <w:color w:val="000000"/>
        </w:rPr>
        <w:t>”</w:t>
      </w:r>
      <w:r>
        <w:rPr>
          <w:rFonts w:ascii="Times New Roman;sans-serif" w:hAnsi="Times New Roman;sans-serif"/>
          <w:b w:val="false"/>
          <w:color w:val="000000"/>
          <w:sz w:val="22"/>
        </w:rPr>
        <w:t xml:space="preserve">), Progyny, Inc. (the </w:t>
      </w:r>
      <w:r>
        <w:rPr>
          <w:color w:val="000000"/>
        </w:rPr>
        <w:t>“</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has awarded to you (the “</w:t>
      </w:r>
      <w:r>
        <w:rPr>
          <w:rFonts w:ascii="Times New Roman;sans-serif" w:hAnsi="Times New Roman;sans-serif"/>
          <w:b/>
          <w:color w:val="000000"/>
          <w:sz w:val="22"/>
        </w:rPr>
        <w:t>Participant</w:t>
      </w:r>
      <w:r>
        <w:rPr>
          <w:color w:val="000000"/>
        </w:rPr>
        <w:t>”</w:t>
      </w:r>
      <w:r>
        <w:rPr>
          <w:rFonts w:ascii="Times New Roman;sans-serif" w:hAnsi="Times New Roman;sans-serif"/>
          <w:b w:val="false"/>
          <w:color w:val="000000"/>
          <w:sz w:val="22"/>
        </w:rPr>
        <w:t>) the number of performance-vesting restricted stock units (“</w:t>
      </w:r>
      <w:r>
        <w:rPr>
          <w:rFonts w:ascii="Times New Roman;sans-serif" w:hAnsi="Times New Roman;sans-serif"/>
          <w:b/>
          <w:color w:val="000000"/>
          <w:sz w:val="22"/>
        </w:rPr>
        <w:t>PSUs</w:t>
      </w:r>
      <w:r>
        <w:rPr>
          <w:color w:val="000000"/>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as specified below, and subject to the terms and conditions set forth below, in consideration of your services to the Company (the “</w:t>
      </w:r>
      <w:r>
        <w:rPr>
          <w:rFonts w:ascii="Times New Roman;sans-serif" w:hAnsi="Times New Roman;sans-serif"/>
          <w:b/>
          <w:color w:val="000000"/>
          <w:sz w:val="22"/>
        </w:rPr>
        <w:t>PSU Award</w:t>
      </w:r>
      <w:r>
        <w:rPr>
          <w:color w:val="000000"/>
        </w:rPr>
        <w:t>”</w:t>
      </w:r>
      <w:r>
        <w:rPr>
          <w:rFonts w:ascii="Times New Roman;sans-serif" w:hAnsi="Times New Roman;sans-serif"/>
          <w:b w:val="false"/>
          <w:color w:val="000000"/>
          <w:sz w:val="22"/>
        </w:rPr>
        <w:t>). Your PSU Award is subject to all of the terms and conditions as set forth herein and in the Company’s 2019 Equity Incentive Plan, as amended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and the Award Agreement (the “</w:t>
      </w:r>
      <w:r>
        <w:rPr>
          <w:rFonts w:ascii="Times New Roman;sans-serif" w:hAnsi="Times New Roman;sans-serif"/>
          <w:b/>
          <w:color w:val="000000"/>
          <w:sz w:val="22"/>
        </w:rPr>
        <w:t>Award Agreement</w:t>
      </w:r>
      <w:r>
        <w:rPr>
          <w:color w:val="000000"/>
        </w:rPr>
        <w:t>”</w:t>
      </w:r>
      <w:r>
        <w:rPr>
          <w:rFonts w:ascii="Times New Roman;sans-serif" w:hAnsi="Times New Roman;sans-serif"/>
          <w:b w:val="false"/>
          <w:color w:val="000000"/>
          <w:sz w:val="22"/>
        </w:rPr>
        <w:t>), which are incorporated herein in their entirety. Capitalized terms not explicitly defined herein but defined in the Plan or the Award Agreement shall have the meanings set forth in the Plan or the Award Agreement.</w:t>
      </w:r>
    </w:p>
    <w:p>
      <w:pPr>
        <w:pStyle w:val="TextBody"/>
        <w:bidi w:val="0"/>
        <w:spacing w:before="0" w:after="0"/>
        <w:jc w:val="left"/>
        <w:rPr/>
      </w:pPr>
      <w:r>
        <w:rPr/>
      </w:r>
    </w:p>
    <w:tbl>
      <w:tblPr>
        <w:tblW w:w="3341" w:type="dxa"/>
        <w:jc w:val="left"/>
        <w:tblInd w:w="0" w:type="dxa"/>
        <w:tblLayout w:type="fixed"/>
        <w:tblCellMar>
          <w:top w:w="28" w:type="dxa"/>
          <w:left w:w="28" w:type="dxa"/>
          <w:bottom w:w="28" w:type="dxa"/>
          <w:right w:w="28" w:type="dxa"/>
        </w:tblCellMar>
      </w:tblPr>
      <w:tblGrid>
        <w:gridCol w:w="1075"/>
        <w:gridCol w:w="945"/>
        <w:gridCol w:w="94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20" w:before="0" w:after="0"/>
              <w:ind w:left="0" w:right="0" w:hanging="105"/>
              <w:jc w:val="left"/>
              <w:rPr/>
            </w:pPr>
            <w:r>
              <w:rPr>
                <w:color w:val="000000"/>
              </w:rPr>
              <w:t>  </w:t>
            </w:r>
            <w:r>
              <w:rPr>
                <w:rFonts w:ascii="Times New Roman;sans-serif" w:hAnsi="Times New Roman;sans-serif"/>
                <w:b/>
                <w:color w:val="000000"/>
                <w:sz w:val="22"/>
              </w:rPr>
              <w:t>Participant</w:t>
            </w:r>
            <w:r>
              <w:rPr>
                <w:rFonts w:ascii="Times New Roman;sans-serif" w:hAnsi="Times New Roman;sans-serif"/>
                <w:b w:val="false"/>
                <w:color w:val="000000"/>
                <w:sz w:val="22"/>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18" w:before="0" w:after="0"/>
              <w:ind w:left="0" w:right="0" w:hanging="105"/>
              <w:jc w:val="left"/>
              <w:rPr/>
            </w:pPr>
            <w:r>
              <w:rPr>
                <w:color w:val="000000"/>
              </w:rPr>
              <w:t>  </w:t>
            </w:r>
            <w:r>
              <w:rPr>
                <w:rFonts w:ascii="Times New Roman;sans-serif" w:hAnsi="Times New Roman;sans-serif"/>
                <w:b/>
                <w:color w:val="000000"/>
                <w:sz w:val="22"/>
              </w:rPr>
              <w:t>Date of Grant</w:t>
            </w:r>
            <w:r>
              <w:rPr>
                <w:rFonts w:ascii="Times New Roman;sans-serif" w:hAnsi="Times New Roman;sans-serif"/>
                <w:b w:val="false"/>
                <w:color w:val="000000"/>
                <w:sz w:val="22"/>
              </w:rPr>
              <w:t>:</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20" w:before="0" w:after="0"/>
              <w:ind w:left="0" w:right="0" w:hanging="105"/>
              <w:jc w:val="left"/>
              <w:rPr/>
            </w:pPr>
            <w:r>
              <w:rPr>
                <w:color w:val="000000"/>
              </w:rPr>
              <w:t>  </w:t>
            </w:r>
            <w:r>
              <w:rPr>
                <w:rFonts w:ascii="Times New Roman;sans-serif" w:hAnsi="Times New Roman;sans-serif"/>
                <w:b/>
                <w:color w:val="000000"/>
                <w:sz w:val="22"/>
              </w:rPr>
              <w:t>Measurement Period</w:t>
            </w:r>
            <w:r>
              <w:rPr>
                <w:rFonts w:ascii="Times New Roman;sans-serif" w:hAnsi="Times New Roman;sans-serif"/>
                <w:b w:val="false"/>
                <w:color w:val="000000"/>
                <w:sz w:val="22"/>
              </w:rPr>
              <w:t>:</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18" w:before="0" w:after="0"/>
              <w:ind w:left="0" w:right="0" w:hanging="105"/>
              <w:jc w:val="left"/>
              <w:rPr/>
            </w:pPr>
            <w:r>
              <w:rPr>
                <w:color w:val="000000"/>
              </w:rPr>
              <w:t>  </w:t>
            </w:r>
            <w:r>
              <w:rPr>
                <w:rFonts w:ascii="Times New Roman;sans-serif" w:hAnsi="Times New Roman;sans-serif"/>
                <w:b/>
                <w:color w:val="000000"/>
                <w:sz w:val="22"/>
              </w:rPr>
              <w:t>Target Number of PSUs</w:t>
            </w:r>
            <w:r>
              <w:rPr>
                <w:rFonts w:ascii="Times New Roman;sans-serif" w:hAnsi="Times New Roman;sans-serif"/>
                <w:b w:val="false"/>
                <w:color w:val="000000"/>
                <w:sz w:val="22"/>
              </w:rPr>
              <w:t>:</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18" w:before="0" w:after="0"/>
              <w:ind w:left="0" w:right="0" w:hanging="105"/>
              <w:jc w:val="left"/>
              <w:rPr/>
            </w:pPr>
            <w:r>
              <w:rPr>
                <w:color w:val="000000"/>
              </w:rPr>
              <w:t>  </w:t>
            </w:r>
            <w:r>
              <w:rPr>
                <w:rFonts w:ascii="Times New Roman;sans-serif" w:hAnsi="Times New Roman;sans-serif"/>
                <w:b/>
                <w:color w:val="000000"/>
                <w:sz w:val="22"/>
              </w:rPr>
              <w:t>Maximum Number of PSUs</w:t>
            </w:r>
            <w:r>
              <w:rPr>
                <w:rFonts w:ascii="Times New Roman;sans-serif" w:hAnsi="Times New Roman;sans-serif"/>
                <w:b w:val="false"/>
                <w:color w:val="000000"/>
                <w:sz w:val="22"/>
              </w:rPr>
              <w:t>:</w:t>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PSU Award: </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PSU Award is nonvested and forfeitable as of the Date of Grant. The PSU Award is subject to both a Service-Based Condition and a Performance-Based Condition, each as described below. </w:t>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Service-Based Condition: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Except as otherwise provided herein, the Service-Based Condition is satisfied if the Participant remains in Continuous Service from January 1, 2025, through the date on which the Compensation Committee certifies the level of achievement of the Revenue Performance Goal and the Adjusted EBITDA Goal with respect to the 2027 Annual Performance Period (the “</w:t>
      </w:r>
      <w:r>
        <w:rPr>
          <w:rFonts w:ascii="Times New Roman;sans-serif" w:hAnsi="Times New Roman;sans-serif"/>
          <w:b/>
          <w:color w:val="000000"/>
          <w:sz w:val="22"/>
        </w:rPr>
        <w:t>Final Certification Date</w:t>
      </w:r>
      <w:r>
        <w:rPr>
          <w:color w:val="000000"/>
        </w:rPr>
        <w:t>”</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Performance-Based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u w:val="single"/>
        </w:rPr>
        <w:t>Measurement Period</w:t>
      </w:r>
      <w:r>
        <w:rPr>
          <w:rFonts w:ascii="Times New Roman;sans-serif" w:hAnsi="Times New Roman;sans-serif"/>
          <w:b w:val="false"/>
          <w:color w:val="000000"/>
          <w:sz w:val="22"/>
        </w:rPr>
        <w:t>: For purposes of the PSU Award, the “</w:t>
      </w:r>
      <w:r>
        <w:rPr>
          <w:rFonts w:ascii="Times New Roman;sans-serif" w:hAnsi="Times New Roman;sans-serif"/>
          <w:b/>
          <w:color w:val="000000"/>
          <w:sz w:val="22"/>
        </w:rPr>
        <w:t>Measurement Period</w:t>
      </w:r>
      <w:r>
        <w:rPr>
          <w:color w:val="000000"/>
        </w:rPr>
        <w:t xml:space="preserve">” </w:t>
      </w:r>
      <w:r>
        <w:rPr>
          <w:rFonts w:ascii="Times New Roman;sans-serif" w:hAnsi="Times New Roman;sans-serif"/>
          <w:b w:val="false"/>
          <w:color w:val="000000"/>
          <w:sz w:val="22"/>
        </w:rPr>
        <w:t>is the three-year period beginning January 1, 2025, and ending December 31, 2027. Each complete calendar year in the Measurement Period represents a separate “</w:t>
      </w:r>
      <w:r>
        <w:rPr>
          <w:rFonts w:ascii="Times New Roman;sans-serif" w:hAnsi="Times New Roman;sans-serif"/>
          <w:b/>
          <w:color w:val="000000"/>
          <w:sz w:val="22"/>
        </w:rPr>
        <w:t>Annual Performance Period</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u w:val="single"/>
        </w:rPr>
        <w:t>Performance Goals</w:t>
      </w:r>
      <w:r>
        <w:rPr>
          <w:rFonts w:ascii="Times New Roman;sans-serif" w:hAnsi="Times New Roman;sans-serif"/>
          <w:b w:val="false"/>
          <w:color w:val="000000"/>
          <w:sz w:val="22"/>
        </w:rPr>
        <w:t xml:space="preserve">: 30% of the Target Number of PSUs shall be subject to the achievement Revenue Goals, and 70% of the Target Number of PSUs shall be subject to the achievement of Adjusted EBITDA Goals, each as defined and determined in accordance with the attached </w:t>
      </w:r>
      <w:r>
        <w:rPr>
          <w:rFonts w:ascii="Times New Roman;sans-serif" w:hAnsi="Times New Roman;sans-serif"/>
          <w:b/>
          <w:color w:val="000000"/>
          <w:sz w:val="22"/>
          <w:u w:val="single"/>
        </w:rPr>
        <w:t>Exhibit A</w:t>
      </w:r>
      <w:r>
        <w:rPr>
          <w:rFonts w:ascii="Times New Roman;sans-serif" w:hAnsi="Times New Roman;sans-serif"/>
          <w:b w:val="false"/>
          <w:color w:val="000000"/>
          <w:sz w:val="22"/>
        </w:rPr>
        <w:t xml:space="preserve">. A separate Revenue Goal and a separate Adjusted EBITDA Goal shall apply with respect to </w:t>
      </w:r>
      <w:r>
        <w:rPr>
          <w:rFonts w:ascii="Times New Roman;sans-serif" w:hAnsi="Times New Roman;sans-serif"/>
          <w:b w:val="false"/>
          <w:color w:val="000000"/>
          <w:sz w:val="22"/>
          <w:u w:val="single"/>
        </w:rPr>
        <w:t>each</w:t>
      </w:r>
      <w:r>
        <w:rPr>
          <w:color w:val="000000"/>
        </w:rPr>
        <w:t xml:space="preserve"> </w:t>
      </w:r>
      <w:r>
        <w:rPr>
          <w:rFonts w:ascii="Times New Roman;sans-serif" w:hAnsi="Times New Roman;sans-serif"/>
          <w:b w:val="false"/>
          <w:color w:val="000000"/>
          <w:sz w:val="22"/>
        </w:rPr>
        <w:t xml:space="preserve">Annual Performance Period, as described in the attached </w:t>
      </w:r>
      <w:r>
        <w:rPr>
          <w:rFonts w:ascii="Times New Roman;sans-serif" w:hAnsi="Times New Roman;sans-serif"/>
          <w:b/>
          <w:color w:val="000000"/>
          <w:sz w:val="22"/>
          <w:u w:val="single"/>
        </w:rPr>
        <w:t>Exhibit A</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68"/>
        <w:ind w:left="0" w:right="0" w:hanging="360"/>
        <w:jc w:val="both"/>
        <w:rPr/>
      </w:pPr>
      <w:r>
        <w:rPr>
          <w:color w:val="000000"/>
        </w:rPr>
        <w:t>•</w:t>
      </w:r>
      <w:r>
        <w:rPr>
          <w:rFonts w:ascii="Times New Roman;sans-serif" w:hAnsi="Times New Roman;sans-serif"/>
          <w:b w:val="false"/>
          <w:color w:val="000000"/>
          <w:sz w:val="22"/>
          <w:u w:val="single"/>
        </w:rPr>
        <w:t>Earned PSUs</w:t>
      </w:r>
      <w:r>
        <w:rPr>
          <w:rFonts w:ascii="Times New Roman;sans-serif" w:hAnsi="Times New Roman;sans-serif"/>
          <w:b w:val="false"/>
          <w:color w:val="000000"/>
          <w:sz w:val="22"/>
        </w:rPr>
        <w:t xml:space="preserve">: Within 60 days following the end of each Annual Performance Period, the Compensation Committee will review and certify (i) the level of achievement of the Revenue Goal and Adjusted EBITDA Goal applicable to such Annual Performance Period, and (ii)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2"/>
        </w:rPr>
        <w:t>number of PSUs that shall become “</w:t>
      </w:r>
      <w:r>
        <w:rPr>
          <w:rFonts w:ascii="Times New Roman;sans-serif" w:hAnsi="Times New Roman;sans-serif"/>
          <w:b/>
          <w:color w:val="000000"/>
          <w:sz w:val="22"/>
        </w:rPr>
        <w:t>Earned PSUs</w:t>
      </w:r>
      <w:r>
        <w:rPr>
          <w:rFonts w:ascii="Times New Roman;sans-serif" w:hAnsi="Times New Roman;sans-serif"/>
          <w:b w:val="false"/>
          <w:color w:val="000000"/>
          <w:sz w:val="22"/>
        </w:rPr>
        <w:t xml:space="preserve">.” The Compensation Committee’s certification shall be final, conclusive and binding on Participant, and on all other persons, to the maximum extent permitted by law. The number of PSUs that shall become Earned PSUs following </w:t>
      </w:r>
      <w:r>
        <w:rPr>
          <w:rFonts w:ascii="Times New Roman;sans-serif" w:hAnsi="Times New Roman;sans-serif"/>
          <w:b w:val="false"/>
          <w:color w:val="000000"/>
          <w:sz w:val="22"/>
          <w:u w:val="single"/>
        </w:rPr>
        <w:t>each</w:t>
      </w:r>
      <w:r>
        <w:rPr>
          <w:color w:val="000000"/>
        </w:rPr>
        <w:t xml:space="preserve"> </w:t>
      </w:r>
      <w:r>
        <w:rPr>
          <w:rFonts w:ascii="Times New Roman;sans-serif" w:hAnsi="Times New Roman;sans-serif"/>
          <w:b w:val="false"/>
          <w:color w:val="000000"/>
          <w:sz w:val="22"/>
        </w:rPr>
        <w:t>Annual Performance Period, if any (not to exceed 1/3</w:t>
      </w:r>
      <w:r>
        <w:rPr>
          <w:rFonts w:ascii="Times New Roman;sans-serif" w:hAnsi="Times New Roman;sans-serif"/>
          <w:b w:val="false"/>
          <w:color w:val="000000"/>
          <w:sz w:val="14"/>
        </w:rPr>
        <w:t>rd</w:t>
      </w:r>
      <w:r>
        <w:rPr>
          <w:color w:val="000000"/>
        </w:rPr>
        <w:t xml:space="preserve"> </w:t>
      </w:r>
      <w:r>
        <w:rPr>
          <w:rFonts w:ascii="Times New Roman;sans-serif" w:hAnsi="Times New Roman;sans-serif"/>
          <w:b w:val="false"/>
          <w:color w:val="000000"/>
          <w:sz w:val="22"/>
        </w:rPr>
        <w:t>of the Maximum Number of PSUs set forth above) shall equal the sum of:</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(x) the product of (A) 1/3</w:t>
      </w:r>
      <w:r>
        <w:rPr>
          <w:rFonts w:ascii="Times New Roman;sans-serif" w:hAnsi="Times New Roman;sans-serif"/>
          <w:b w:val="false"/>
          <w:color w:val="000000"/>
          <w:sz w:val="14"/>
        </w:rPr>
        <w:t>rd</w:t>
      </w:r>
      <w:r>
        <w:rPr>
          <w:color w:val="000000"/>
        </w:rPr>
        <w:t xml:space="preserve"> </w:t>
      </w:r>
      <w:r>
        <w:rPr>
          <w:rFonts w:ascii="Times New Roman;sans-serif" w:hAnsi="Times New Roman;sans-serif"/>
          <w:b w:val="false"/>
          <w:color w:val="000000"/>
          <w:sz w:val="22"/>
        </w:rPr>
        <w:t xml:space="preserve">of the Target Number of PSUs multiplied by (B) 30%, multiplied by (C) the Revenue Achievement Percentage (as defined in the attached </w:t>
      </w:r>
      <w:r>
        <w:rPr>
          <w:rFonts w:ascii="Times New Roman;sans-serif" w:hAnsi="Times New Roman;sans-serif"/>
          <w:b/>
          <w:color w:val="000000"/>
          <w:sz w:val="22"/>
          <w:u w:val="single"/>
        </w:rPr>
        <w:t>Exhibit A</w:t>
      </w:r>
      <w:r>
        <w:rPr>
          <w:rFonts w:ascii="Times New Roman;sans-serif" w:hAnsi="Times New Roman;sans-serif"/>
          <w:b w:val="false"/>
          <w:color w:val="000000"/>
          <w:sz w:val="22"/>
        </w:rPr>
        <w:t xml:space="preserve">) applicable to such Annual Performance Period, </w:t>
      </w:r>
      <w:r>
        <w:rPr>
          <w:rFonts w:ascii="Times New Roman;sans-serif" w:hAnsi="Times New Roman;sans-serif"/>
          <w:b w:val="false"/>
          <w:i/>
          <w:color w:val="000000"/>
          <w:sz w:val="22"/>
        </w:rPr>
        <w:t>plus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(y) the product of (A) 1/3</w:t>
      </w:r>
      <w:r>
        <w:rPr>
          <w:rFonts w:ascii="Times New Roman;sans-serif" w:hAnsi="Times New Roman;sans-serif"/>
          <w:b w:val="false"/>
          <w:color w:val="000000"/>
          <w:sz w:val="14"/>
        </w:rPr>
        <w:t>rd</w:t>
      </w:r>
      <w:r>
        <w:rPr>
          <w:color w:val="000000"/>
        </w:rPr>
        <w:t xml:space="preserve"> </w:t>
      </w:r>
      <w:r>
        <w:rPr>
          <w:rFonts w:ascii="Times New Roman;sans-serif" w:hAnsi="Times New Roman;sans-serif"/>
          <w:b w:val="false"/>
          <w:color w:val="000000"/>
          <w:sz w:val="22"/>
        </w:rPr>
        <w:t xml:space="preserve">of the Target Number of PSUs multiplied by (B) 70%, multiplied by (C) the Adjusted EBITDA Achievement Percentage (as defined in the attached </w:t>
      </w:r>
      <w:r>
        <w:rPr>
          <w:rFonts w:ascii="Times New Roman;sans-serif" w:hAnsi="Times New Roman;sans-serif"/>
          <w:b/>
          <w:color w:val="000000"/>
          <w:sz w:val="22"/>
          <w:u w:val="single"/>
        </w:rPr>
        <w:t>Exhibit A</w:t>
      </w:r>
      <w:r>
        <w:rPr>
          <w:rFonts w:ascii="Times New Roman;sans-serif" w:hAnsi="Times New Roman;sans-serif"/>
          <w:b w:val="false"/>
          <w:color w:val="000000"/>
          <w:sz w:val="22"/>
        </w:rPr>
        <w:t>) applicable to such Annual Performance Period.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Vesting Date: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Except as provided otherwise below, the Earned PSUs, if any, shall vest and become nonforfeitable on the date on which the Service-Based Condition is satisfied (the “</w:t>
      </w:r>
      <w:r>
        <w:rPr>
          <w:rFonts w:ascii="Times New Roman;sans-serif" w:hAnsi="Times New Roman;sans-serif"/>
          <w:b/>
          <w:color w:val="000000"/>
          <w:sz w:val="22"/>
        </w:rPr>
        <w:t>Vesting Date</w:t>
      </w:r>
      <w:r>
        <w:rPr>
          <w:color w:val="000000"/>
        </w:rPr>
        <w:t>”</w:t>
      </w:r>
      <w:r>
        <w:rPr>
          <w:rFonts w:ascii="Times New Roman;sans-serif" w:hAnsi="Times New Roman;sans-serif"/>
          <w:b w:val="false"/>
          <w:color w:val="000000"/>
          <w:sz w:val="22"/>
        </w:rPr>
        <w:t xml:space="preserve">). Any PSUs that have not been determined to be Earned PSUs on the Vesting Date shall be cancelled and forfeited for no consideration as of the Vesting Date.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otherwise provided herein, if the Participant’s Continuous Service terminates for any reason prior to the Final Certification Date, all of the PSUs, including any Earned PSUs, shall be immediately forfeited for no consideration as of the date of such termination.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Termination Without Cause or For Good Reason: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Notwithstanding anything to the contrary set forth herein or in the Company’s Executive Severance Plan or any other agreement between the Participant and the Company, if, prior to the Final Certification Date, the Participant’s Continuous Service is terminated by the Company without Cause, or by the Participant for Good Reason, then the Service-Based Condition shall be deemed satisfied on the date of such termination (which shall constitute the Vesting Date) with respect to any Earned PSUs that are outstanding as of the date of such termination, and all PSUs that are not Earned PSUs as of the date of the termination shall be forfeited for no consideration as of the date of such termination. For purposes of this Grant Notice, the terms “</w:t>
      </w:r>
      <w:r>
        <w:rPr>
          <w:rFonts w:ascii="Times New Roman;sans-serif" w:hAnsi="Times New Roman;sans-serif"/>
          <w:b/>
          <w:color w:val="000000"/>
          <w:sz w:val="22"/>
        </w:rPr>
        <w:t>Cause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Good Reason</w:t>
      </w:r>
      <w:r>
        <w:rPr>
          <w:rFonts w:ascii="Times New Roman;sans-serif" w:hAnsi="Times New Roman;sans-serif"/>
          <w:b w:val="false"/>
          <w:color w:val="000000"/>
          <w:sz w:val="22"/>
        </w:rPr>
        <w:t>,” shall have the meanings set forth in any written agreement between the Participant and the Company defining such term and, in the absence of such agreement, the Plan, if not otherwise defined.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2"/>
        </w:rPr>
        <w:t>Termination Due to Death or Disability:</w:t>
      </w:r>
      <w:r>
        <w:rPr>
          <w:color w:val="000000"/>
        </w:rPr>
        <w:t xml:space="preserve"> </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set forth herein or in the Company’s Executive Severance Plan or any other agreement between the Participant and the Company, if, prior to the Final Certification Date, the Participant’s Continuous Service is terminated by reason of the Participant’s death or Disability, then (i) the Service-Based Condition shall be deemed satisfied with respect to all outstanding PSUs as of the date of such termination, (ii) any Earned PSUs with respect to any Annual Performance Period completed prior to the date of such termination shall become vested as of the date of such termination (which shall constitute the Vesting Date), and (iii) with respect to any uncompleted Annual Performance Period, the PSUs applicable to such Annual Performance Period shall be deemed to have satisfied both the Revenue Performance Goals and Adjusted EBITDA Goals at the greater of (1) the target level of achievement of any applicable performance conditions or (2) the actual level of achievement of any applicable performance conditions as of the date of such termination (which shall constitute the Vesting Date). Any PSUs that do not become Earned PSUs as of the date of such termination based on the application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2"/>
        </w:rPr>
        <w:t>prior sentence shall be forfeited for no consideration on the date of such termination. For purposes of this Grant Notice, the term “</w:t>
      </w:r>
      <w:r>
        <w:rPr>
          <w:rFonts w:ascii="Times New Roman;sans-serif" w:hAnsi="Times New Roman;sans-serif"/>
          <w:b/>
          <w:color w:val="000000"/>
          <w:sz w:val="22"/>
        </w:rPr>
        <w:t>Disability</w:t>
      </w:r>
      <w:r>
        <w:rPr>
          <w:color w:val="000000"/>
        </w:rPr>
        <w:t xml:space="preserve">” </w:t>
      </w:r>
      <w:r>
        <w:rPr>
          <w:rFonts w:ascii="Times New Roman;sans-serif" w:hAnsi="Times New Roman;sans-serif"/>
          <w:b w:val="false"/>
          <w:color w:val="000000"/>
          <w:sz w:val="22"/>
        </w:rPr>
        <w:t>shall have the meaning set forth in any written agreement between the Participant and the Company defining such term and, in the absence of such agreement, the Plan, if not otherwise defined.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Issuance Schedule: </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One share of Common Stock will be issued for each Earned PSU Award no later than March 15 of the year following the year in which the Vesting Date occurs, in accordance with the Award Agreement.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2"/>
        </w:rPr>
        <w:t xml:space="preserve">Participant Acknowledgements: </w:t>
      </w:r>
      <w:r>
        <w:rPr>
          <w:rFonts w:ascii="Times New Roman;sans-serif" w:hAnsi="Times New Roman;sans-serif"/>
          <w:b w:val="false"/>
          <w:color w:val="000000"/>
          <w:sz w:val="22"/>
        </w:rPr>
        <w:t>By your signature below or by electronic acceptance or authentication in a form authorized by the Company, you understand and agree that: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The PSU Award is governed by this Grant Notice and the Award Agreement (together, the “</w:t>
      </w:r>
      <w:r>
        <w:rPr>
          <w:rFonts w:ascii="Times New Roman;sans-serif" w:hAnsi="Times New Roman;sans-serif"/>
          <w:b/>
          <w:color w:val="000000"/>
          <w:sz w:val="22"/>
        </w:rPr>
        <w:t>PSU Award Agreement</w:t>
      </w:r>
      <w:r>
        <w:rPr>
          <w:color w:val="000000"/>
        </w:rPr>
        <w:t>”</w:t>
      </w:r>
      <w:r>
        <w:rPr>
          <w:rFonts w:ascii="Times New Roman;sans-serif" w:hAnsi="Times New Roman;sans-serif"/>
          <w:b w:val="false"/>
          <w:color w:val="000000"/>
          <w:sz w:val="22"/>
        </w:rPr>
        <w:t>) and the provisions of the Plan, all of which are made a part of this document. Unless otherwise provided in the Plan or the PSU Award Agreement, the PSU Award may not be modified, amended or revised except in a writing signed by you and a duly authorized officer of the Company.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You have read and are familiar with the provisions of the Plan (including, without limitation, the forfeiture, recoupment and clawback provisions set forth in Sections 5(b) and 9(i) of the Plan), the PSU Award Agreement and the Prospectus. In the event of any conflict between the provisions in the PSU Award Agreement, or the Prospectus and the terms of the Plan, the terms of the Plan shall control.</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 xml:space="preserve">The PSU Award Agreement and the Plan set forth the entire understanding between you and the Company regarding the acquisition of Common Stock and supersede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PSU Award. </w:t>
      </w:r>
    </w:p>
    <w:p>
      <w:pPr>
        <w:pStyle w:val="TextBody"/>
        <w:bidi w:val="0"/>
        <w:spacing w:before="0" w:after="0"/>
        <w:jc w:val="left"/>
        <w:rPr/>
      </w:pPr>
      <w:r>
        <w:rPr/>
      </w:r>
    </w:p>
    <w:tbl>
      <w:tblPr>
        <w:tblW w:w="10322" w:type="dxa"/>
        <w:jc w:val="left"/>
        <w:tblInd w:w="0" w:type="dxa"/>
        <w:tblLayout w:type="fixed"/>
        <w:tblCellMar>
          <w:top w:w="28" w:type="dxa"/>
          <w:left w:w="28" w:type="dxa"/>
          <w:bottom w:w="28" w:type="dxa"/>
          <w:right w:w="28" w:type="dxa"/>
        </w:tblCellMar>
      </w:tblPr>
      <w:tblGrid>
        <w:gridCol w:w="1865"/>
        <w:gridCol w:w="1636"/>
        <w:gridCol w:w="1645"/>
        <w:gridCol w:w="1516"/>
        <w:gridCol w:w="1516"/>
        <w:gridCol w:w="2144"/>
      </w:tblGrid>
      <w:tr>
        <w:trPr/>
        <w:tc>
          <w:tcPr>
            <w:tcW w:w="1865"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5146"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r>
              <w:rPr>
                <w:rFonts w:ascii="Times New Roman;sans-serif" w:hAnsi="Times New Roman;sans-serif"/>
                <w:b/>
                <w:color w:val="000000"/>
                <w:sz w:val="22"/>
              </w:rPr>
              <w:t>PROGYNY, INC.</w:t>
            </w:r>
          </w:p>
          <w:p>
            <w:pPr>
              <w:pStyle w:val="TableContents"/>
              <w:bidi w:val="0"/>
              <w:spacing w:before="0" w:after="0"/>
              <w:jc w:val="center"/>
              <w:rPr/>
            </w:pPr>
            <w:r>
              <w:rPr/>
            </w:r>
          </w:p>
          <w:p>
            <w:pPr>
              <w:pStyle w:val="TableContents"/>
              <w:bidi w:val="0"/>
              <w:spacing w:before="0" w:after="0"/>
              <w:jc w:val="left"/>
              <w:rPr/>
            </w:pPr>
            <w:r>
              <w:rPr/>
            </w:r>
          </w:p>
        </w:tc>
        <w:tc>
          <w:tcPr>
            <w:tcW w:w="5176"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r>
              <w:rPr>
                <w:rFonts w:ascii="Times New Roman;sans-serif" w:hAnsi="Times New Roman;sans-serif"/>
                <w:b/>
                <w:color w:val="000000"/>
                <w:sz w:val="22"/>
              </w:rPr>
              <w:t>PARTICIPANT</w:t>
            </w:r>
          </w:p>
          <w:p>
            <w:pPr>
              <w:pStyle w:val="TableContents"/>
              <w:bidi w:val="0"/>
              <w:spacing w:before="0" w:after="0"/>
              <w:jc w:val="left"/>
              <w:rPr/>
            </w:pPr>
            <w:r>
              <w:rPr/>
            </w:r>
          </w:p>
          <w:p>
            <w:pPr>
              <w:pStyle w:val="TableContents"/>
              <w:bidi w:val="0"/>
              <w:spacing w:before="0" w:after="0"/>
              <w:jc w:val="center"/>
              <w:rPr/>
            </w:pPr>
            <w:r>
              <w:rPr/>
            </w:r>
          </w:p>
        </w:tc>
      </w:tr>
      <w:tr>
        <w:trPr/>
        <w:tc>
          <w:tcPr>
            <w:tcW w:w="51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By:________________________________________ Signature</w:t>
            </w:r>
          </w:p>
        </w:tc>
        <w:tc>
          <w:tcPr>
            <w:tcW w:w="51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 Signature</w:t>
            </w:r>
          </w:p>
        </w:tc>
      </w:tr>
      <w:tr>
        <w:trPr/>
        <w:tc>
          <w:tcPr>
            <w:tcW w:w="51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Title:________________________________</w:t>
            </w:r>
          </w:p>
        </w:tc>
        <w:tc>
          <w:tcPr>
            <w:tcW w:w="5176"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ans-serif" w:hAnsi="Times New Roman;sans-serif"/>
                <w:b w:val="false"/>
                <w:color w:val="000000"/>
                <w:sz w:val="20"/>
              </w:rPr>
              <w:t>Date:____________________________________</w:t>
            </w:r>
          </w:p>
        </w:tc>
      </w:tr>
      <w:tr>
        <w:trPr/>
        <w:tc>
          <w:tcPr>
            <w:tcW w:w="51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Date:________________________________</w:t>
            </w:r>
          </w:p>
        </w:tc>
        <w:tc>
          <w:tcPr>
            <w:tcW w:w="5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TO PSU AWARD GRANT NOTICE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Performance Goals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(REDACTED)</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0" w:before="0" w:after="0"/>
        <w:jc w:val="center"/>
        <w:rPr>
          <w:rFonts w:ascii="Times New Roman;sans-serif" w:hAnsi="Times New Roman;sans-serif"/>
          <w:b/>
          <w:color w:val="000000"/>
          <w:sz w:val="22"/>
        </w:rPr>
      </w:pPr>
      <w:r>
        <w:rPr>
          <w:rFonts w:ascii="Times New Roman;sans-serif" w:hAnsi="Times New Roman;sans-serif"/>
          <w:b/>
          <w:color w:val="000000"/>
          <w:sz w:val="22"/>
        </w:rPr>
        <w:t>AWARD AGREEMENT (PSU AWARD)</w:t>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As reflected by your PSU Grant Notice (the “</w:t>
      </w:r>
      <w:r>
        <w:rPr>
          <w:rFonts w:ascii="Times New Roman;sans-serif" w:hAnsi="Times New Roman;sans-serif"/>
          <w:b/>
          <w:i/>
          <w:color w:val="000000"/>
          <w:sz w:val="22"/>
        </w:rPr>
        <w:t>Grant Notice</w:t>
      </w:r>
      <w:r>
        <w:rPr>
          <w:color w:val="000000"/>
        </w:rPr>
        <w:t>”</w:t>
      </w:r>
      <w:r>
        <w:rPr>
          <w:rFonts w:ascii="Times New Roman;sans-serif" w:hAnsi="Times New Roman;sans-serif"/>
          <w:b w:val="false"/>
          <w:color w:val="000000"/>
          <w:sz w:val="22"/>
        </w:rPr>
        <w:t>) Progyny,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has granted you a PSU Award under its 2019 Equity Incentive Plan, as amended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for the number of performance-vesting restricted stock units set forth in your Grant Notice (the “</w:t>
      </w:r>
      <w:r>
        <w:rPr>
          <w:rFonts w:ascii="Times New Roman;sans-serif" w:hAnsi="Times New Roman;sans-serif"/>
          <w:b/>
          <w:i/>
          <w:color w:val="000000"/>
          <w:sz w:val="22"/>
        </w:rPr>
        <w:t>PSU Award</w:t>
      </w:r>
      <w:r>
        <w:rPr>
          <w:color w:val="000000"/>
        </w:rPr>
        <w:t>”</w:t>
      </w:r>
      <w:r>
        <w:rPr>
          <w:rFonts w:ascii="Times New Roman;sans-serif" w:hAnsi="Times New Roman;sans-serif"/>
          <w:b w:val="false"/>
          <w:color w:val="000000"/>
          <w:sz w:val="22"/>
        </w:rPr>
        <w:t>). This Award Agreement (the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together with the Grant Notice constitutes your “</w:t>
      </w:r>
      <w:r>
        <w:rPr>
          <w:rFonts w:ascii="Times New Roman;sans-serif" w:hAnsi="Times New Roman;sans-serif"/>
          <w:b/>
          <w:i/>
          <w:color w:val="000000"/>
          <w:sz w:val="22"/>
        </w:rPr>
        <w:t>PSU Award Agreement</w:t>
      </w:r>
      <w:r>
        <w:rPr>
          <w:rFonts w:ascii="Times New Roman;sans-serif" w:hAnsi="Times New Roman;sans-serif"/>
          <w:b w:val="false"/>
          <w:color w:val="000000"/>
          <w:sz w:val="22"/>
        </w:rPr>
        <w:t>.” Your PSU Award is subject to all of the terms and conditions as set forth in the PSU Award Agreement and the Plan, which are incorporated herein in their entirety. Defined terms not explicitly defined in this Agreement but defined in the Grant Notice or the Plan shall have the same definitions as in the Grant Notice or Plan, as applicable.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general terms applicable to your PSU Award are as follows: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1.</w:t>
      </w:r>
      <w:r>
        <w:rPr>
          <w:rFonts w:ascii="Times New Roman;sans-serif" w:hAnsi="Times New Roman;sans-serif"/>
          <w:b/>
          <w:color w:val="000000"/>
          <w:sz w:val="22"/>
        </w:rPr>
        <w:t xml:space="preserve">GOVERNING PLAN DOCUMENT. </w:t>
      </w:r>
      <w:r>
        <w:rPr>
          <w:rFonts w:ascii="Times New Roman;sans-serif" w:hAnsi="Times New Roman;sans-serif"/>
          <w:b w:val="false"/>
          <w:color w:val="000000"/>
          <w:sz w:val="22"/>
        </w:rPr>
        <w:t>Your PSU Award is subject to all the provisions of the Plan. Your PSU Award is further subject to all interpretations, amendments, rules and regulations, which may from time to time be promulgated and adopted pursuant to the Plan. In the event of any conflict between the PSU Award Agreement and the provisions of the Plan, the provisions of the Plan shall control.</w:t>
      </w:r>
    </w:p>
    <w:p>
      <w:pPr>
        <w:pStyle w:val="TextBody"/>
        <w:bidi w:val="0"/>
        <w:spacing w:before="0" w:after="0"/>
        <w:ind w:left="0" w:right="0" w:hanging="36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2.</w:t>
      </w:r>
      <w:r>
        <w:rPr>
          <w:rFonts w:ascii="Times New Roman;sans-serif" w:hAnsi="Times New Roman;sans-serif"/>
          <w:b/>
          <w:color w:val="000000"/>
          <w:sz w:val="22"/>
        </w:rPr>
        <w:t xml:space="preserve">GRANT OF THE PSU AWARD. </w:t>
      </w:r>
      <w:r>
        <w:rPr>
          <w:rFonts w:ascii="Times New Roman;sans-serif" w:hAnsi="Times New Roman;sans-serif"/>
          <w:b w:val="false"/>
          <w:color w:val="000000"/>
          <w:sz w:val="22"/>
        </w:rPr>
        <w:t>This PSU Award represents your right to be issued on a future date the number of shares of the Company’s Common Stock that is equal to the number of PSUs set forth in the Grant Notice that become Earned PSUs, subject to your satisfaction of the vesting conditions set forth therein. Any additional PSUs that become subject to the PSU Award pursuant to Capitalization Adjustments as set forth in the Plan and the provisions of Section 3 below, if any, shall be subject, in a manner determined by the Board or the Compensation Committee, to the same forfeiture restrictions, restrictions on transferability, and time and manner of delivery as applicable to the other PSUs covered by your PSU Award.</w:t>
      </w:r>
    </w:p>
    <w:p>
      <w:pPr>
        <w:pStyle w:val="TextBody"/>
        <w:bidi w:val="0"/>
        <w:spacing w:before="0" w:after="0"/>
        <w:ind w:left="0" w:right="0" w:hanging="36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3.</w:t>
      </w:r>
      <w:r>
        <w:rPr>
          <w:rFonts w:ascii="Times New Roman;sans-serif" w:hAnsi="Times New Roman;sans-serif"/>
          <w:b/>
          <w:color w:val="000000"/>
          <w:sz w:val="22"/>
        </w:rPr>
        <w:t xml:space="preserve">DIVIDENDS. </w:t>
      </w:r>
      <w:r>
        <w:rPr>
          <w:rFonts w:ascii="Times New Roman;sans-serif" w:hAnsi="Times New Roman;sans-serif"/>
          <w:b w:val="false"/>
          <w:color w:val="000000"/>
          <w:sz w:val="22"/>
        </w:rPr>
        <w:t>You may become entitled to receive payments equal to any cash dividends and other distributions paid with respect to a corresponding number of shares of Common Stock to be issued in respect of the PSUs covered by your PSU Award. Any such dividends or distributions shall be subject to the same forfeiture restrictions as applicable to the PSUs and shall be paid at the same time that the corresponding shares are issued in respect of your vested Earned PSUs, provided, however that to the extent any such dividends or distributions are paid in shares of Common Stock, then you will automatically be granted a corresponding number of additional PSUs subject to the PSU Award (the “</w:t>
      </w:r>
      <w:r>
        <w:rPr>
          <w:rFonts w:ascii="Times New Roman;sans-serif" w:hAnsi="Times New Roman;sans-serif"/>
          <w:b/>
          <w:i/>
          <w:color w:val="000000"/>
          <w:sz w:val="22"/>
        </w:rPr>
        <w:t>Dividend Units</w:t>
      </w:r>
      <w:r>
        <w:rPr>
          <w:color w:val="000000"/>
        </w:rPr>
        <w:t>”</w:t>
      </w:r>
      <w:r>
        <w:rPr>
          <w:rFonts w:ascii="Times New Roman;sans-serif" w:hAnsi="Times New Roman;sans-serif"/>
          <w:b w:val="false"/>
          <w:color w:val="000000"/>
          <w:sz w:val="22"/>
        </w:rPr>
        <w:t xml:space="preserve">), and further provided that such Dividend Units shall be subject to the same forfeiture restrictions and restrictions on transferability, and same timing requirements for issuance of shares, as applicable to the PSUs subject to the PSU Award with respect to which the Dividend Units relate. </w:t>
      </w:r>
    </w:p>
    <w:p>
      <w:pPr>
        <w:pStyle w:val="TextBody"/>
        <w:bidi w:val="0"/>
        <w:spacing w:before="0" w:after="0"/>
        <w:ind w:left="0" w:right="0" w:hanging="36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4.</w:t>
      </w:r>
      <w:r>
        <w:rPr>
          <w:rFonts w:ascii="Times New Roman;sans-serif" w:hAnsi="Times New Roman;sans-serif"/>
          <w:b/>
          <w:color w:val="000000"/>
          <w:sz w:val="22"/>
        </w:rPr>
        <w:t xml:space="preserve">WITHHOLDING OBLIGATIONS. </w:t>
      </w:r>
      <w:r>
        <w:rPr>
          <w:rFonts w:ascii="Times New Roman;sans-serif" w:hAnsi="Times New Roman;sans-serif"/>
          <w:b w:val="false"/>
          <w:color w:val="000000"/>
          <w:sz w:val="22"/>
        </w:rPr>
        <w:t>To satisfy the applicable federal, state, local and foreign tax withholding obligations, if any, which arise in connection with your PSU Award (the “</w:t>
      </w:r>
      <w:r>
        <w:rPr>
          <w:rFonts w:ascii="Times New Roman;sans-serif" w:hAnsi="Times New Roman;sans-serif"/>
          <w:b/>
          <w:i/>
          <w:color w:val="000000"/>
          <w:sz w:val="22"/>
        </w:rPr>
        <w:t>Withholding Taxes</w:t>
      </w:r>
      <w:r>
        <w:rPr>
          <w:color w:val="000000"/>
        </w:rPr>
        <w:t>”</w:t>
      </w:r>
      <w:r>
        <w:rPr>
          <w:rFonts w:ascii="Times New Roman;sans-serif" w:hAnsi="Times New Roman;sans-serif"/>
          <w:b w:val="false"/>
          <w:color w:val="000000"/>
          <w:sz w:val="22"/>
        </w:rPr>
        <w:t>), the Company shall withhold from the shares of Common Stock issued or otherwise issuable to you in connection with the PSU Award a number of shares of Common Stock with a Fair Market Value (measured as of the date shares of Common Stock are issued to you pursuant to Section 5) equal to the amount of such Withholding Taxes. Unless the Withholding Taxes are satisfied, the Company shall have no obligation to deliver to you any Common Stock in respect of the PSU Award. In the event withholding obligations of the Company arise prior to the delivery to you of Common Stock or it is determined after the delivery of Common Stock to you that the amount of the Withholding Taxes was greater than the amount withheld by the Company, you agree to indemnify and hold the Company harmless from any failure by the Company to withhold the proper amount.</w:t>
      </w:r>
    </w:p>
    <w:p>
      <w:pPr>
        <w:pStyle w:val="TextBody"/>
        <w:bidi w:val="0"/>
        <w:spacing w:before="0" w:after="0"/>
        <w:ind w:left="0" w:right="0" w:firstLine="1080"/>
        <w:jc w:val="both"/>
        <w:rPr/>
      </w:pPr>
      <w:r>
        <w:rPr/>
      </w:r>
    </w:p>
    <w:p>
      <w:pPr>
        <w:pStyle w:val="TextBody"/>
        <w:bidi w:val="0"/>
        <w:spacing w:before="0" w:after="0"/>
        <w:ind w:left="0" w:right="0" w:firstLine="1080"/>
        <w:jc w:val="both"/>
        <w:rPr/>
      </w:pPr>
      <w:r>
        <w:rPr/>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720"/>
        <w:jc w:val="left"/>
        <w:rPr>
          <w:rFonts w:ascii="Times New Roman;sans-serif" w:hAnsi="Times New Roman;sans-serif"/>
          <w:b/>
          <w:color w:val="000000"/>
          <w:sz w:val="22"/>
        </w:rPr>
      </w:pPr>
      <w:r>
        <w:rPr>
          <w:rFonts w:ascii="Times New Roman;sans-serif" w:hAnsi="Times New Roman;sans-serif"/>
          <w:b/>
          <w:color w:val="000000"/>
          <w:sz w:val="22"/>
        </w:rPr>
        <w:t>5.DATE OF ISSUANCE.</w:t>
      </w:r>
    </w:p>
    <w:p>
      <w:pPr>
        <w:pStyle w:val="TextBody"/>
        <w:bidi w:val="0"/>
        <w:spacing w:before="0" w:after="0"/>
        <w:ind w:left="0" w:right="0" w:hanging="360"/>
        <w:jc w:val="left"/>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 xml:space="preserve">(a)    To the extent your PSU Award is exempt from the application of Section 409A of the Code (and the regulations and other guidance thereunder) and any state law of similar effect (collectively </w:t>
      </w:r>
      <w:r>
        <w:rPr>
          <w:color w:val="000000"/>
        </w:rPr>
        <w:t>“</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2"/>
        </w:rPr>
        <w:t>), the Company will deliver and issue to you as set forth in your Grant Notice a number of shares of the Company’s Common Stock equal to the number of vested Earned PSUs subject to your PSU Award, including any additional PSUs received pursuant to Section 3 above that relate to those vested Earned PSUs as set forth in your Grant Notice. Delivery of the shares pursuant to the provisions of this Section 5 is intended to comply with the requirements for the short-term deferral exemption available under Treasury Regulations Section 1.409A-1(b)(4) and shall be construed and administered in such manner.</w:t>
      </w:r>
    </w:p>
    <w:p>
      <w:pPr>
        <w:pStyle w:val="TextBody"/>
        <w:bidi w:val="0"/>
        <w:spacing w:before="0" w:after="0"/>
        <w:ind w:left="0" w:right="0" w:firstLine="108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(b)    Notwithstanding the foregoing, in the event Section 5(a) above does not apply, the Company will deliver shares of Common Stock to you in respect of any vested Earned PSU in no event later than December 31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of the calendar year in which the Earned PSU vests. </w:t>
      </w:r>
    </w:p>
    <w:p>
      <w:pPr>
        <w:pStyle w:val="TextBody"/>
        <w:bidi w:val="0"/>
        <w:spacing w:before="0" w:after="0"/>
        <w:ind w:left="0" w:right="0" w:firstLine="108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6.</w:t>
      </w:r>
      <w:r>
        <w:rPr>
          <w:rFonts w:ascii="Times New Roman;sans-serif" w:hAnsi="Times New Roman;sans-serif"/>
          <w:b/>
          <w:color w:val="000000"/>
          <w:sz w:val="22"/>
        </w:rPr>
        <w:t xml:space="preserve">TRANSFERABILITY. </w:t>
      </w:r>
      <w:r>
        <w:rPr>
          <w:rFonts w:ascii="Times New Roman;sans-serif" w:hAnsi="Times New Roman;sans-serif"/>
          <w:b w:val="false"/>
          <w:color w:val="000000"/>
          <w:sz w:val="22"/>
        </w:rPr>
        <w:t>Except as otherwise provided in the Plan, your PSU Award is not transferable, except by will or by the applicable laws of descent and distribution.</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7.</w:t>
      </w:r>
      <w:r>
        <w:rPr>
          <w:rFonts w:ascii="Times New Roman;sans-serif" w:hAnsi="Times New Roman;sans-serif"/>
          <w:b/>
          <w:color w:val="000000"/>
          <w:sz w:val="22"/>
        </w:rPr>
        <w:t xml:space="preserve">CORPORATE TRANSACTION. </w:t>
      </w:r>
      <w:r>
        <w:rPr>
          <w:rFonts w:ascii="Times New Roman;sans-serif" w:hAnsi="Times New Roman;sans-serif"/>
          <w:b w:val="false"/>
          <w:color w:val="000000"/>
          <w:sz w:val="22"/>
        </w:rPr>
        <w:t>Your PSU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8.</w:t>
      </w:r>
      <w:r>
        <w:rPr>
          <w:rFonts w:ascii="Times New Roman;sans-serif" w:hAnsi="Times New Roman;sans-serif"/>
          <w:b/>
          <w:color w:val="000000"/>
          <w:sz w:val="22"/>
        </w:rPr>
        <w:t xml:space="preserve">NO LIABILITY FOR TAXES. </w:t>
      </w:r>
      <w:r>
        <w:rPr>
          <w:rFonts w:ascii="Times New Roman;sans-serif" w:hAnsi="Times New Roman;sans-serif"/>
          <w:b w:val="false"/>
          <w:color w:val="000000"/>
          <w:sz w:val="22"/>
        </w:rPr>
        <w:t>As a condition to accepting the PSU Award, you hereby (a) agree to not make any claim against the Company, or any of its Officers, Directors, Employees or Affiliates related to tax liabilities arising from the PSU Award or other Company compensation and (b) acknowledge that you were advised to consult with your own personal tax, financial and other legal advisors regarding the tax consequences of the PSU Award and have either done so or knowingly and voluntarily declined to do so.</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9.</w:t>
      </w:r>
      <w:r>
        <w:rPr>
          <w:rFonts w:ascii="Times New Roman;sans-serif" w:hAnsi="Times New Roman;sans-serif"/>
          <w:b/>
          <w:color w:val="000000"/>
          <w:sz w:val="22"/>
        </w:rPr>
        <w:t>OBLIGATIONS; RECOUPMENT.</w:t>
      </w:r>
      <w:r>
        <w:rPr>
          <w:color w:val="000000"/>
        </w:rPr>
        <w:t xml:space="preserve"> </w:t>
      </w:r>
      <w:r>
        <w:rPr>
          <w:rFonts w:ascii="Times New Roman;sans-serif" w:hAnsi="Times New Roman;sans-serif"/>
          <w:b w:val="false"/>
          <w:color w:val="000000"/>
          <w:sz w:val="22"/>
        </w:rPr>
        <w:t>You hereby acknowledge that the grant of your PSU Award is additional consideration for any obligations (whether during or after employment) that you have to the Company not to compete, not to solicit its customers, clients or employees, not to disclose or misuse confidential information or similar obligations. Accordingly, if the Company reasonably determines that you breached such obligations, in addition to any other available remedy, the Company may recoup any income realized by you with respect to your PSU Award within two years of such breach. In addition, this right to recoupment by the Company applies in the event that your employment is terminated for Cause or if the Company reasonably determines that circumstances existed that it could have terminated your employment for Cause. In addition and without limiting the foregoing, you acknowledge and agree that your PSU Award and any other performance-based compensation received by you at any time is subject to the Company’s Policy for Recovery of Erroneously Awarded Compensation and any other clawback or recoupment policy that may be adopted by the Company from time to time.</w:t>
      </w:r>
    </w:p>
    <w:p>
      <w:pPr>
        <w:pStyle w:val="TextBody"/>
        <w:bidi w:val="0"/>
        <w:spacing w:before="0" w:after="0"/>
        <w:ind w:left="0" w:right="0" w:firstLine="1080"/>
        <w:jc w:val="left"/>
        <w:rPr/>
      </w:pPr>
      <w:r>
        <w:rPr/>
      </w:r>
    </w:p>
    <w:p>
      <w:pPr>
        <w:pStyle w:val="TextBody"/>
        <w:bidi w:val="0"/>
        <w:spacing w:lineRule="auto" w:line="268"/>
        <w:ind w:left="0" w:right="0" w:firstLine="720"/>
        <w:jc w:val="both"/>
        <w:rPr/>
      </w:pPr>
      <w:r>
        <w:rPr>
          <w:rFonts w:ascii="Times New Roman;sans-serif" w:hAnsi="Times New Roman;sans-serif"/>
          <w:b/>
          <w:color w:val="000000"/>
          <w:sz w:val="22"/>
        </w:rPr>
        <w:t>10.</w:t>
      </w:r>
      <w:r>
        <w:rPr>
          <w:rFonts w:ascii="Times New Roman;sans-serif" w:hAnsi="Times New Roman;sans-serif"/>
          <w:b/>
          <w:color w:val="000000"/>
          <w:sz w:val="22"/>
        </w:rPr>
        <w:t xml:space="preserve">AWARD NOT A SERVICE CONTRACT. </w:t>
      </w:r>
      <w:r>
        <w:rPr>
          <w:rFonts w:ascii="Times New Roman;sans-serif" w:hAnsi="Times New Roman;sans-serif"/>
          <w:b w:val="false"/>
          <w:color w:val="000000"/>
          <w:sz w:val="22"/>
        </w:rPr>
        <w:t xml:space="preserve">Nothing in this PSU Award Agreement (including, but not limited to, the vesting of your PSU Award or the shares of Common Stock issued, in respect of your PSU Award), the Plan or any covenant of good faith and fair dealing that may be found implicit in this PSU Award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right or benefit under this PSU Award Agreement or the Plan unless such right or benefit has specifically accrued under the terms of this PSU Award Agreement or Plan; or (iv) deprive the Company of the right to terminate you at will and without regard to any future vesting opportunity that you may have. </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11.</w:t>
      </w:r>
      <w:r>
        <w:rPr>
          <w:rFonts w:ascii="Times New Roman;sans-serif" w:hAnsi="Times New Roman;sans-serif"/>
          <w:b/>
          <w:color w:val="000000"/>
          <w:sz w:val="22"/>
        </w:rPr>
        <w:t>SEVERABILITY.</w:t>
      </w:r>
      <w:r>
        <w:rPr>
          <w:color w:val="000000"/>
        </w:rPr>
        <w:t xml:space="preserve"> </w:t>
      </w:r>
      <w:r>
        <w:rPr>
          <w:rFonts w:ascii="Times New Roman;sans-serif" w:hAnsi="Times New Roman;sans-serif"/>
          <w:b w:val="false"/>
          <w:color w:val="000000"/>
          <w:sz w:val="22"/>
        </w:rPr>
        <w:t>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2"/>
        </w:rPr>
        <w:t>12.</w:t>
      </w:r>
      <w:r>
        <w:rPr>
          <w:rFonts w:ascii="Times New Roman;sans-serif" w:hAnsi="Times New Roman;sans-serif"/>
          <w:b/>
          <w:color w:val="000000"/>
          <w:sz w:val="22"/>
        </w:rPr>
        <w:t xml:space="preserve">OTHER DOCUMENTS. </w:t>
      </w:r>
      <w:r>
        <w:rPr>
          <w:rFonts w:ascii="Times New Roman;sans-serif" w:hAnsi="Times New Roman;sans-serif"/>
          <w:b w:val="false"/>
          <w:color w:val="000000"/>
          <w:sz w:val="22"/>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before="0" w:after="0"/>
        <w:ind w:left="0" w:right="0" w:firstLine="1080"/>
        <w:jc w:val="left"/>
        <w:rPr/>
      </w:pPr>
      <w:r>
        <w:rPr/>
      </w:r>
    </w:p>
    <w:p>
      <w:pPr>
        <w:pStyle w:val="TextBody"/>
        <w:bidi w:val="0"/>
        <w:spacing w:lineRule="auto" w:line="268"/>
        <w:ind w:left="0" w:right="0" w:firstLine="720"/>
        <w:jc w:val="both"/>
        <w:rPr/>
      </w:pPr>
      <w:r>
        <w:rPr>
          <w:rFonts w:ascii="Times New Roman;sans-serif" w:hAnsi="Times New Roman;sans-serif"/>
          <w:b/>
          <w:color w:val="000000"/>
          <w:sz w:val="22"/>
        </w:rPr>
        <w:t>13.</w:t>
      </w:r>
      <w:r>
        <w:rPr>
          <w:rFonts w:ascii="Times New Roman;sans-serif" w:hAnsi="Times New Roman;sans-serif"/>
          <w:b/>
          <w:color w:val="000000"/>
          <w:sz w:val="22"/>
        </w:rPr>
        <w:t xml:space="preserve">QUESTIONS. </w:t>
      </w:r>
      <w:r>
        <w:rPr>
          <w:rFonts w:ascii="Times New Roman;sans-serif" w:hAnsi="Times New Roman;sans-serif"/>
          <w:b w:val="false"/>
          <w:color w:val="000000"/>
          <w:sz w:val="22"/>
        </w:rPr>
        <w:t>If you have questions regarding these or any other terms and conditions applicable to your PSU Award, including a summary of the applicable federal income tax consequences please see the Prospectus.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Peter Anevski,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Progyny,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14" w:type="dxa"/>
        <w:jc w:val="center"/>
        <w:tblInd w:w="0" w:type="dxa"/>
        <w:tblLayout w:type="fixed"/>
        <w:tblCellMar>
          <w:top w:w="28" w:type="dxa"/>
          <w:left w:w="28" w:type="dxa"/>
          <w:bottom w:w="28" w:type="dxa"/>
          <w:right w:w="28" w:type="dxa"/>
        </w:tblCellMar>
      </w:tblPr>
      <w:tblGrid>
        <w:gridCol w:w="607"/>
        <w:gridCol w:w="535"/>
        <w:gridCol w:w="538"/>
        <w:gridCol w:w="134"/>
        <w:gridCol w:w="134"/>
        <w:gridCol w:w="136"/>
        <w:gridCol w:w="712"/>
        <w:gridCol w:w="712"/>
        <w:gridCol w:w="1006"/>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Anevski</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Anevski</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p>
            <w:pPr>
              <w:pStyle w:val="TableContents"/>
              <w:bidi w:val="0"/>
              <w:spacing w:lineRule="auto" w:line="276" w:before="15"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Mark Livingston,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Progyny,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52"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705"/>
        <w:gridCol w:w="705"/>
        <w:gridCol w:w="100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Livingston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Livingston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bidi w:val="0"/>
              <w:spacing w:lineRule="auto" w:line="276" w:before="15" w:after="283"/>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Progyny, Inc. (the “Company”) for the period ended March 31, 2025,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68"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712"/>
        <w:gridCol w:w="712"/>
        <w:gridCol w:w="100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Anevski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Anevski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76" w:before="15" w:after="283"/>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Progyny, Inc. (the “Company”) for the period ended March 31, 2025,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2"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705"/>
        <w:gridCol w:w="705"/>
        <w:gridCol w:w="100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Livingston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Livingston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bidi w:val="0"/>
              <w:spacing w:lineRule="auto" w:line="276" w:before="15" w:after="283"/>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46157</Words>
  <Characters>257274</Characters>
  <CharactersWithSpaces>301957</CharactersWithSpaces>
  <Paragraphs>2249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